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10"/>
        <w:rPr>
          <w:rFonts w:ascii="Times New Roman"/>
          <w:sz w:val="9"/>
        </w:rPr>
      </w:pPr>
    </w:p>
    <w:p>
      <w:pPr>
        <w:spacing w:line="482" w:lineRule="auto" w:before="100"/>
        <w:ind w:left="870" w:right="356" w:firstLine="0"/>
        <w:jc w:val="center"/>
        <w:rPr>
          <w:b/>
          <w:sz w:val="31"/>
        </w:rPr>
      </w:pPr>
      <w:r>
        <w:rPr>
          <w:b/>
          <w:color w:val="007F00"/>
          <w:sz w:val="31"/>
        </w:rPr>
        <w:t>PLANO SIMPLIFICADO DE GERENCIAMENTO DE RESÍDUOS DE SERVIÇOS DA SAÚDE PARA MÍNIMOS GERADORES</w:t>
      </w:r>
    </w:p>
    <w:p>
      <w:pPr>
        <w:pStyle w:val="Heading1"/>
        <w:spacing w:before="3"/>
        <w:ind w:left="862" w:right="356"/>
        <w:jc w:val="center"/>
      </w:pPr>
      <w:r>
        <w:rPr/>
        <w:t>Até 30 Litros/semana</w:t>
      </w:r>
    </w:p>
    <w:p>
      <w:pPr>
        <w:pStyle w:val="BodyText"/>
        <w:spacing w:before="10"/>
        <w:rPr>
          <w:b/>
        </w:rPr>
      </w:pPr>
    </w:p>
    <w:p>
      <w:pPr>
        <w:spacing w:line="480" w:lineRule="auto" w:before="0"/>
        <w:ind w:left="866" w:right="356" w:firstLine="0"/>
        <w:jc w:val="center"/>
        <w:rPr>
          <w:sz w:val="31"/>
        </w:rPr>
      </w:pPr>
      <w:r>
        <w:rPr>
          <w:sz w:val="31"/>
        </w:rPr>
        <w:t>(não aplicável para estabelecimentos que geram resíduos quimioterápicos e radioativos)</w:t>
      </w:r>
    </w:p>
    <w:p>
      <w:pPr>
        <w:pStyle w:val="Heading1"/>
        <w:numPr>
          <w:ilvl w:val="0"/>
          <w:numId w:val="1"/>
        </w:numPr>
        <w:tabs>
          <w:tab w:pos="424" w:val="left" w:leader="none"/>
        </w:tabs>
        <w:spacing w:line="240" w:lineRule="auto" w:before="6" w:after="0"/>
        <w:ind w:left="423" w:right="0" w:hanging="261"/>
        <w:jc w:val="left"/>
      </w:pPr>
      <w:r>
        <w:rPr>
          <w:color w:val="007F00"/>
        </w:rPr>
        <w:t>IDENTIFICAÇÃO DO</w:t>
      </w:r>
      <w:r>
        <w:rPr>
          <w:color w:val="007F00"/>
          <w:spacing w:val="-2"/>
        </w:rPr>
        <w:t> </w:t>
      </w:r>
      <w:r>
        <w:rPr>
          <w:color w:val="007F00"/>
        </w:rPr>
        <w:t>GERADOR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1"/>
        </w:rPr>
      </w:pPr>
    </w:p>
    <w:p>
      <w:pPr>
        <w:spacing w:before="0"/>
        <w:ind w:left="163" w:right="0" w:firstLine="0"/>
        <w:jc w:val="left"/>
        <w:rPr>
          <w:sz w:val="23"/>
        </w:rPr>
      </w:pPr>
      <w:r>
        <w:rPr>
          <w:b/>
          <w:sz w:val="23"/>
        </w:rPr>
        <w:t>Razão Social</w:t>
      </w:r>
      <w:r>
        <w:rPr>
          <w:sz w:val="23"/>
        </w:rPr>
        <w:t>:</w:t>
      </w:r>
    </w:p>
    <w:p>
      <w:pPr>
        <w:pStyle w:val="BodyText"/>
        <w:spacing w:before="7"/>
        <w:rPr>
          <w:sz w:val="29"/>
        </w:rPr>
      </w:pPr>
      <w:r>
        <w:rPr/>
        <w:pict>
          <v:group style="position:absolute;margin-left:37.199486pt;margin-top:19.022860pt;width:480.5pt;height:.85pt;mso-position-horizontal-relative:page;mso-position-vertical-relative:paragraph;z-index:-251658240;mso-wrap-distance-left:0;mso-wrap-distance-right:0" coordorigin="744,380" coordsize="9610,17">
            <v:line style="position:absolute" from="744,389" to="1001,389" stroked="true" strokeweight=".805451pt" strokecolor="#000000">
              <v:stroke dashstyle="solid"/>
            </v:line>
            <v:line style="position:absolute" from="1003,389" to="1260,389" stroked="true" strokeweight=".805451pt" strokecolor="#000000">
              <v:stroke dashstyle="solid"/>
            </v:line>
            <v:line style="position:absolute" from="1262,389" to="1781,389" stroked="true" strokeweight=".805451pt" strokecolor="#000000">
              <v:stroke dashstyle="solid"/>
            </v:line>
            <v:line style="position:absolute" from="1783,389" to="2040,389" stroked="true" strokeweight=".805451pt" strokecolor="#000000">
              <v:stroke dashstyle="solid"/>
            </v:line>
            <v:line style="position:absolute" from="2042,389" to="2299,389" stroked="true" strokeweight=".805451pt" strokecolor="#000000">
              <v:stroke dashstyle="solid"/>
            </v:line>
            <v:line style="position:absolute" from="2302,389" to="2820,389" stroked="true" strokeweight=".805451pt" strokecolor="#000000">
              <v:stroke dashstyle="solid"/>
            </v:line>
            <v:line style="position:absolute" from="2822,389" to="3079,389" stroked="true" strokeweight=".805451pt" strokecolor="#000000">
              <v:stroke dashstyle="solid"/>
            </v:line>
            <v:line style="position:absolute" from="3082,389" to="3339,389" stroked="true" strokeweight=".805451pt" strokecolor="#000000">
              <v:stroke dashstyle="solid"/>
            </v:line>
            <v:line style="position:absolute" from="3341,389" to="3598,389" stroked="true" strokeweight=".805451pt" strokecolor="#000000">
              <v:stroke dashstyle="solid"/>
            </v:line>
            <v:line style="position:absolute" from="3600,389" to="4119,389" stroked="true" strokeweight=".805451pt" strokecolor="#000000">
              <v:stroke dashstyle="solid"/>
            </v:line>
            <v:line style="position:absolute" from="4121,389" to="4769,389" stroked="true" strokeweight=".805451pt" strokecolor="#000000">
              <v:stroke dashstyle="solid"/>
            </v:line>
            <v:line style="position:absolute" from="4771,389" to="5028,389" stroked="true" strokeweight=".805451pt" strokecolor="#000000">
              <v:stroke dashstyle="solid"/>
            </v:line>
            <v:line style="position:absolute" from="5030,389" to="6067,389" stroked="true" strokeweight=".805451pt" strokecolor="#000000">
              <v:stroke dashstyle="solid"/>
            </v:line>
            <v:line style="position:absolute" from="6070,389" to="6327,389" stroked="true" strokeweight=".805451pt" strokecolor="#000000">
              <v:stroke dashstyle="solid"/>
            </v:line>
            <v:line style="position:absolute" from="6329,389" to="7107,389" stroked="true" strokeweight=".805451pt" strokecolor="#000000">
              <v:stroke dashstyle="solid"/>
            </v:line>
            <v:line style="position:absolute" from="7109,389" to="7366,389" stroked="true" strokeweight=".805451pt" strokecolor="#000000">
              <v:stroke dashstyle="solid"/>
            </v:line>
            <v:line style="position:absolute" from="7368,389" to="8016,389" stroked="true" strokeweight=".805451pt" strokecolor="#000000">
              <v:stroke dashstyle="solid"/>
            </v:line>
            <v:line style="position:absolute" from="8018,389" to="8275,389" stroked="true" strokeweight=".805451pt" strokecolor="#000000">
              <v:stroke dashstyle="solid"/>
            </v:line>
            <v:line style="position:absolute" from="8278,389" to="8796,389" stroked="true" strokeweight=".805451pt" strokecolor="#000000">
              <v:stroke dashstyle="solid"/>
            </v:line>
            <v:line style="position:absolute" from="8798,389" to="9055,389" stroked="true" strokeweight=".805451pt" strokecolor="#000000">
              <v:stroke dashstyle="solid"/>
            </v:line>
            <v:line style="position:absolute" from="9058,389" to="9315,389" stroked="true" strokeweight=".805451pt" strokecolor="#000000">
              <v:stroke dashstyle="solid"/>
            </v:line>
            <v:line style="position:absolute" from="9317,389" to="9835,389" stroked="true" strokeweight=".805451pt" strokecolor="#000000">
              <v:stroke dashstyle="solid"/>
            </v:line>
            <v:line style="position:absolute" from="9838,389" to="10095,389" stroked="true" strokeweight=".805451pt" strokecolor="#000000">
              <v:stroke dashstyle="solid"/>
            </v:line>
            <v:line style="position:absolute" from="10097,389" to="10354,389" stroked="true" strokeweight=".805451pt" strokecolor="#000000">
              <v:stroke dashstyle="solid"/>
            </v:line>
            <w10:wrap type="topAndBottom"/>
          </v:group>
        </w:pict>
      </w:r>
    </w:p>
    <w:p>
      <w:pPr>
        <w:spacing w:before="115"/>
        <w:ind w:left="163" w:right="0" w:firstLine="0"/>
        <w:jc w:val="left"/>
        <w:rPr>
          <w:sz w:val="23"/>
        </w:rPr>
      </w:pPr>
      <w:r>
        <w:rPr>
          <w:b/>
          <w:sz w:val="23"/>
        </w:rPr>
        <w:t>Nome Fantasia</w:t>
      </w:r>
      <w:r>
        <w:rPr>
          <w:sz w:val="23"/>
        </w:rPr>
        <w:t>: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0"/>
        </w:rPr>
      </w:pPr>
      <w:r>
        <w:rPr/>
        <w:pict>
          <v:group style="position:absolute;margin-left:37.199486pt;margin-top:7.734385pt;width:480.5pt;height:.6pt;mso-position-horizontal-relative:page;mso-position-vertical-relative:paragraph;z-index:-251657216;mso-wrap-distance-left:0;mso-wrap-distance-right:0" coordorigin="744,155" coordsize="9610,12">
            <v:line style="position:absolute" from="744,161" to="1001,161" stroked="true" strokeweight=".583660pt" strokecolor="#000000">
              <v:stroke dashstyle="solid"/>
            </v:line>
            <v:line style="position:absolute" from="1003,161" to="1260,161" stroked="true" strokeweight=".583660pt" strokecolor="#000000">
              <v:stroke dashstyle="solid"/>
            </v:line>
            <v:line style="position:absolute" from="1262,161" to="1781,161" stroked="true" strokeweight=".583660pt" strokecolor="#000000">
              <v:stroke dashstyle="solid"/>
            </v:line>
            <v:line style="position:absolute" from="1783,161" to="2040,161" stroked="true" strokeweight=".583660pt" strokecolor="#000000">
              <v:stroke dashstyle="solid"/>
            </v:line>
            <v:line style="position:absolute" from="2042,161" to="2299,161" stroked="true" strokeweight=".583660pt" strokecolor="#000000">
              <v:stroke dashstyle="solid"/>
            </v:line>
            <v:line style="position:absolute" from="2302,161" to="2820,161" stroked="true" strokeweight=".583660pt" strokecolor="#000000">
              <v:stroke dashstyle="solid"/>
            </v:line>
            <v:line style="position:absolute" from="2822,161" to="3079,161" stroked="true" strokeweight=".583660pt" strokecolor="#000000">
              <v:stroke dashstyle="solid"/>
            </v:line>
            <v:line style="position:absolute" from="3082,161" to="3339,161" stroked="true" strokeweight=".583660pt" strokecolor="#000000">
              <v:stroke dashstyle="solid"/>
            </v:line>
            <v:line style="position:absolute" from="3341,161" to="3598,161" stroked="true" strokeweight=".583660pt" strokecolor="#000000">
              <v:stroke dashstyle="solid"/>
            </v:line>
            <v:line style="position:absolute" from="3600,161" to="4119,161" stroked="true" strokeweight=".583660pt" strokecolor="#000000">
              <v:stroke dashstyle="solid"/>
            </v:line>
            <v:line style="position:absolute" from="4121,161" to="4769,161" stroked="true" strokeweight=".583660pt" strokecolor="#000000">
              <v:stroke dashstyle="solid"/>
            </v:line>
            <v:line style="position:absolute" from="4771,161" to="5028,161" stroked="true" strokeweight=".583660pt" strokecolor="#000000">
              <v:stroke dashstyle="solid"/>
            </v:line>
            <v:line style="position:absolute" from="5030,161" to="6067,161" stroked="true" strokeweight=".583660pt" strokecolor="#000000">
              <v:stroke dashstyle="solid"/>
            </v:line>
            <v:line style="position:absolute" from="6070,161" to="6327,161" stroked="true" strokeweight=".583660pt" strokecolor="#000000">
              <v:stroke dashstyle="solid"/>
            </v:line>
            <v:line style="position:absolute" from="6329,161" to="7107,161" stroked="true" strokeweight=".583660pt" strokecolor="#000000">
              <v:stroke dashstyle="solid"/>
            </v:line>
            <v:line style="position:absolute" from="7109,161" to="7366,161" stroked="true" strokeweight=".583660pt" strokecolor="#000000">
              <v:stroke dashstyle="solid"/>
            </v:line>
            <v:line style="position:absolute" from="7368,161" to="8275,161" stroked="true" strokeweight=".583660pt" strokecolor="#000000">
              <v:stroke dashstyle="solid"/>
            </v:line>
            <v:line style="position:absolute" from="8278,161" to="8796,161" stroked="true" strokeweight=".583660pt" strokecolor="#000000">
              <v:stroke dashstyle="solid"/>
            </v:line>
            <v:line style="position:absolute" from="8798,161" to="9055,161" stroked="true" strokeweight=".583660pt" strokecolor="#000000">
              <v:stroke dashstyle="solid"/>
            </v:line>
            <v:line style="position:absolute" from="9058,161" to="9315,161" stroked="true" strokeweight=".583660pt" strokecolor="#000000">
              <v:stroke dashstyle="solid"/>
            </v:line>
            <v:line style="position:absolute" from="9317,161" to="9835,161" stroked="true" strokeweight=".583660pt" strokecolor="#000000">
              <v:stroke dashstyle="solid"/>
            </v:line>
            <v:line style="position:absolute" from="9838,161" to="10095,161" stroked="true" strokeweight=".583660pt" strokecolor="#000000">
              <v:stroke dashstyle="solid"/>
            </v:line>
            <v:line style="position:absolute" from="10097,161" to="10354,161" stroked="true" strokeweight=".583660pt" strokecolor="#000000">
              <v:stroke dashstyle="solid"/>
            </v:line>
            <w10:wrap type="topAndBottom"/>
          </v:group>
        </w:pict>
      </w:r>
    </w:p>
    <w:p>
      <w:pPr>
        <w:tabs>
          <w:tab w:pos="9873" w:val="left" w:leader="none"/>
        </w:tabs>
        <w:spacing w:before="117"/>
        <w:ind w:left="163" w:right="0" w:firstLine="0"/>
        <w:jc w:val="left"/>
        <w:rPr>
          <w:sz w:val="23"/>
        </w:rPr>
      </w:pPr>
      <w:r>
        <w:rPr>
          <w:b/>
          <w:sz w:val="23"/>
        </w:rPr>
        <w:t>C.N.P.J</w:t>
      </w:r>
      <w:r>
        <w:rPr>
          <w:sz w:val="23"/>
        </w:rPr>
        <w:t>:</w:t>
      </w:r>
      <w:r>
        <w:rPr>
          <w:spacing w:val="3"/>
          <w:sz w:val="23"/>
        </w:rPr>
        <w:t> </w:t>
      </w:r>
      <w:r>
        <w:rPr>
          <w:w w:val="101"/>
          <w:sz w:val="23"/>
          <w:u w:val="single"/>
        </w:rPr>
        <w:t> </w:t>
      </w:r>
      <w:r>
        <w:rPr>
          <w:sz w:val="23"/>
          <w:u w:val="single"/>
        </w:rPr>
        <w:tab/>
      </w:r>
    </w:p>
    <w:p>
      <w:pPr>
        <w:pStyle w:val="Heading1"/>
        <w:tabs>
          <w:tab w:pos="5148" w:val="left" w:leader="none"/>
          <w:tab w:pos="9833" w:val="left" w:leader="none"/>
          <w:tab w:pos="9873" w:val="left" w:leader="none"/>
          <w:tab w:pos="10022" w:val="left" w:leader="none"/>
        </w:tabs>
        <w:spacing w:line="364" w:lineRule="auto" w:before="136"/>
        <w:ind w:right="215"/>
        <w:rPr>
          <w:b w:val="0"/>
        </w:rPr>
      </w:pPr>
      <w:r>
        <w:rPr/>
        <w:t>Endereço</w:t>
      </w:r>
      <w:r>
        <w:rPr>
          <w:b w:val="0"/>
        </w:rPr>
        <w:t>:</w:t>
      </w:r>
      <w:r>
        <w:rPr>
          <w:b w:val="0"/>
          <w:u w:val="single"/>
        </w:rPr>
        <w:tab/>
        <w:tab/>
      </w:r>
      <w:r>
        <w:rPr>
          <w:b w:val="0"/>
        </w:rPr>
        <w:t> </w:t>
      </w:r>
      <w:r>
        <w:rPr/>
        <w:t>Bairro</w:t>
      </w:r>
      <w:r>
        <w:rPr>
          <w:b w:val="0"/>
        </w:rPr>
        <w:t>:</w:t>
      </w:r>
      <w:r>
        <w:rPr>
          <w:b w:val="0"/>
          <w:u w:val="single"/>
        </w:rPr>
        <w:tab/>
        <w:tab/>
        <w:tab/>
      </w:r>
      <w:r>
        <w:rPr>
          <w:b w:val="0"/>
        </w:rPr>
        <w:t> </w:t>
      </w:r>
      <w:r>
        <w:rPr/>
        <w:t>Cidade</w:t>
      </w:r>
      <w:r>
        <w:rPr>
          <w:b w:val="0"/>
        </w:rPr>
        <w:t>:</w:t>
      </w:r>
      <w:r>
        <w:rPr>
          <w:b w:val="0"/>
          <w:u w:val="single"/>
        </w:rPr>
        <w:tab/>
        <w:tab/>
      </w:r>
      <w:r>
        <w:rPr>
          <w:b w:val="0"/>
        </w:rPr>
        <w:t> </w:t>
      </w:r>
      <w:r>
        <w:rPr/>
        <w:t>Fone</w:t>
      </w:r>
      <w:r>
        <w:rPr>
          <w:spacing w:val="3"/>
        </w:rPr>
        <w:t> </w:t>
      </w:r>
      <w:r>
        <w:rPr/>
        <w:t>/</w:t>
      </w:r>
      <w:r>
        <w:rPr>
          <w:spacing w:val="10"/>
        </w:rPr>
        <w:t> </w:t>
      </w:r>
      <w:r>
        <w:rPr/>
        <w:t>Fax:</w:t>
      </w:r>
      <w:r>
        <w:rPr>
          <w:spacing w:val="-1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/>
        <w:t>                                                                                                                           E-mail</w:t>
      </w:r>
      <w:r>
        <w:rPr>
          <w:b w:val="0"/>
        </w:rPr>
        <w:t>:</w:t>
      </w:r>
      <w:r>
        <w:rPr>
          <w:b w:val="0"/>
          <w:u w:val="single"/>
        </w:rPr>
        <w:tab/>
        <w:tab/>
        <w:tab/>
      </w:r>
      <w:r>
        <w:rPr>
          <w:b w:val="0"/>
        </w:rPr>
        <w:t> </w:t>
      </w:r>
      <w:r>
        <w:rPr/>
        <w:t>Área</w:t>
      </w:r>
      <w:r>
        <w:rPr>
          <w:spacing w:val="6"/>
        </w:rPr>
        <w:t> </w:t>
      </w:r>
      <w:r>
        <w:rPr/>
        <w:t>Construída</w:t>
      </w:r>
      <w:r>
        <w:rPr>
          <w:spacing w:val="6"/>
        </w:rPr>
        <w:t> </w:t>
      </w:r>
      <w:r>
        <w:rPr/>
        <w:t>(m²)</w:t>
      </w:r>
      <w:r>
        <w:rPr>
          <w:b w:val="0"/>
        </w:rPr>
        <w:t>:</w:t>
      </w:r>
      <w:r>
        <w:rPr>
          <w:b w:val="0"/>
          <w:u w:val="single"/>
        </w:rPr>
        <w:t> </w:t>
        <w:tab/>
      </w:r>
      <w:r>
        <w:rPr>
          <w:b w:val="0"/>
        </w:rPr>
        <w:t>_</w:t>
      </w:r>
      <w:r>
        <w:rPr/>
        <w:t>Área Total do Terreno</w:t>
      </w:r>
      <w:r>
        <w:rPr>
          <w:spacing w:val="35"/>
        </w:rPr>
        <w:t> </w:t>
      </w:r>
      <w:r>
        <w:rPr/>
        <w:t>(m²)</w:t>
      </w:r>
      <w:r>
        <w:rPr>
          <w:b w:val="0"/>
        </w:rPr>
        <w:t>:</w:t>
      </w:r>
      <w:r>
        <w:rPr>
          <w:b w:val="0"/>
          <w:u w:val="single"/>
        </w:rPr>
        <w:t> </w:t>
        <w:tab/>
        <w:tab/>
        <w:tab/>
      </w:r>
    </w:p>
    <w:p>
      <w:pPr>
        <w:pStyle w:val="BodyText"/>
        <w:spacing w:before="9"/>
        <w:rPr>
          <w:sz w:val="26"/>
        </w:rPr>
      </w:pPr>
    </w:p>
    <w:p>
      <w:pPr>
        <w:spacing w:before="103"/>
        <w:ind w:left="164" w:right="0" w:firstLine="0"/>
        <w:jc w:val="left"/>
        <w:rPr>
          <w:b/>
          <w:sz w:val="23"/>
        </w:rPr>
      </w:pPr>
      <w:r>
        <w:rPr>
          <w:b/>
          <w:sz w:val="23"/>
        </w:rPr>
        <w:t>Especialidades Médicas</w:t>
      </w:r>
    </w:p>
    <w:p>
      <w:pPr>
        <w:pStyle w:val="BodyText"/>
        <w:spacing w:before="6"/>
        <w:rPr>
          <w:b/>
          <w:sz w:val="29"/>
        </w:rPr>
      </w:pPr>
      <w:r>
        <w:rPr/>
        <w:pict>
          <v:group style="position:absolute;margin-left:37.200684pt;margin-top:18.999813pt;width:493.45pt;height:.85pt;mso-position-horizontal-relative:page;mso-position-vertical-relative:paragraph;z-index:-251656192;mso-wrap-distance-left:0;mso-wrap-distance-right:0" coordorigin="744,380" coordsize="9869,17">
            <v:line style="position:absolute" from="744,388" to="1001,388" stroked="true" strokeweight=".805451pt" strokecolor="#000000">
              <v:stroke dashstyle="solid"/>
            </v:line>
            <v:line style="position:absolute" from="1003,388" to="1260,388" stroked="true" strokeweight=".805451pt" strokecolor="#000000">
              <v:stroke dashstyle="solid"/>
            </v:line>
            <v:line style="position:absolute" from="1262,388" to="1781,388" stroked="true" strokeweight=".805451pt" strokecolor="#000000">
              <v:stroke dashstyle="solid"/>
            </v:line>
            <v:line style="position:absolute" from="1783,388" to="2040,388" stroked="true" strokeweight=".805451pt" strokecolor="#000000">
              <v:stroke dashstyle="solid"/>
            </v:line>
            <v:line style="position:absolute" from="2042,388" to="2299,388" stroked="true" strokeweight=".805451pt" strokecolor="#000000">
              <v:stroke dashstyle="solid"/>
            </v:line>
            <v:line style="position:absolute" from="2302,388" to="2820,388" stroked="true" strokeweight=".805451pt" strokecolor="#000000">
              <v:stroke dashstyle="solid"/>
            </v:line>
            <v:line style="position:absolute" from="2822,388" to="3079,388" stroked="true" strokeweight=".805451pt" strokecolor="#000000">
              <v:stroke dashstyle="solid"/>
            </v:line>
            <v:line style="position:absolute" from="3082,388" to="3339,388" stroked="true" strokeweight=".805451pt" strokecolor="#000000">
              <v:stroke dashstyle="solid"/>
            </v:line>
            <v:line style="position:absolute" from="3341,388" to="3598,388" stroked="true" strokeweight=".805451pt" strokecolor="#000000">
              <v:stroke dashstyle="solid"/>
            </v:line>
            <v:line style="position:absolute" from="3600,388" to="4119,388" stroked="true" strokeweight=".805451pt" strokecolor="#000000">
              <v:stroke dashstyle="solid"/>
            </v:line>
            <v:line style="position:absolute" from="4121,388" to="4769,388" stroked="true" strokeweight=".805451pt" strokecolor="#000000">
              <v:stroke dashstyle="solid"/>
            </v:line>
            <v:line style="position:absolute" from="4771,388" to="5028,388" stroked="true" strokeweight=".805451pt" strokecolor="#000000">
              <v:stroke dashstyle="solid"/>
            </v:line>
            <v:line style="position:absolute" from="5030,388" to="6067,388" stroked="true" strokeweight=".805451pt" strokecolor="#000000">
              <v:stroke dashstyle="solid"/>
            </v:line>
            <v:line style="position:absolute" from="6070,388" to="6327,388" stroked="true" strokeweight=".805451pt" strokecolor="#000000">
              <v:stroke dashstyle="solid"/>
            </v:line>
            <v:line style="position:absolute" from="6329,388" to="7107,388" stroked="true" strokeweight=".805451pt" strokecolor="#000000">
              <v:stroke dashstyle="solid"/>
            </v:line>
            <v:line style="position:absolute" from="7109,388" to="7366,388" stroked="true" strokeweight=".805451pt" strokecolor="#000000">
              <v:stroke dashstyle="solid"/>
            </v:line>
            <v:line style="position:absolute" from="7368,388" to="8016,388" stroked="true" strokeweight=".805451pt" strokecolor="#000000">
              <v:stroke dashstyle="solid"/>
            </v:line>
            <v:line style="position:absolute" from="8018,388" to="8275,388" stroked="true" strokeweight=".805451pt" strokecolor="#000000">
              <v:stroke dashstyle="solid"/>
            </v:line>
            <v:line style="position:absolute" from="8278,388" to="8796,388" stroked="true" strokeweight=".805451pt" strokecolor="#000000">
              <v:stroke dashstyle="solid"/>
            </v:line>
            <v:line style="position:absolute" from="8798,388" to="9055,388" stroked="true" strokeweight=".805451pt" strokecolor="#000000">
              <v:stroke dashstyle="solid"/>
            </v:line>
            <v:line style="position:absolute" from="9058,388" to="9315,388" stroked="true" strokeweight=".805451pt" strokecolor="#000000">
              <v:stroke dashstyle="solid"/>
            </v:line>
            <v:line style="position:absolute" from="9317,388" to="9835,388" stroked="true" strokeweight=".805451pt" strokecolor="#000000">
              <v:stroke dashstyle="solid"/>
            </v:line>
            <v:line style="position:absolute" from="9838,388" to="10095,388" stroked="true" strokeweight=".805451pt" strokecolor="#000000">
              <v:stroke dashstyle="solid"/>
            </v:line>
            <v:line style="position:absolute" from="10097,388" to="10354,388" stroked="true" strokeweight=".805451pt" strokecolor="#000000">
              <v:stroke dashstyle="solid"/>
            </v:line>
            <v:line style="position:absolute" from="10356,388" to="10613,388" stroked="true" strokeweight=".805451pt" strokecolor="#000000">
              <v:stroke dashstyle="solid"/>
            </v:line>
            <w10:wrap type="topAndBottom"/>
          </v:group>
        </w:pict>
      </w:r>
      <w:r>
        <w:rPr/>
        <w:pict>
          <v:group style="position:absolute;margin-left:37.200684pt;margin-top:39.279812pt;width:467.55pt;height:.85pt;mso-position-horizontal-relative:page;mso-position-vertical-relative:paragraph;z-index:-251655168;mso-wrap-distance-left:0;mso-wrap-distance-right:0" coordorigin="744,786" coordsize="9351,17">
            <v:line style="position:absolute" from="744,794" to="1001,794" stroked="true" strokeweight=".805451pt" strokecolor="#000000">
              <v:stroke dashstyle="solid"/>
            </v:line>
            <v:line style="position:absolute" from="1003,794" to="1260,794" stroked="true" strokeweight=".805451pt" strokecolor="#000000">
              <v:stroke dashstyle="solid"/>
            </v:line>
            <v:line style="position:absolute" from="1262,794" to="1781,794" stroked="true" strokeweight=".805451pt" strokecolor="#000000">
              <v:stroke dashstyle="solid"/>
            </v:line>
            <v:line style="position:absolute" from="1783,794" to="2040,794" stroked="true" strokeweight=".805451pt" strokecolor="#000000">
              <v:stroke dashstyle="solid"/>
            </v:line>
            <v:line style="position:absolute" from="2042,794" to="2299,794" stroked="true" strokeweight=".805451pt" strokecolor="#000000">
              <v:stroke dashstyle="solid"/>
            </v:line>
            <v:line style="position:absolute" from="2302,794" to="2820,794" stroked="true" strokeweight=".805451pt" strokecolor="#000000">
              <v:stroke dashstyle="solid"/>
            </v:line>
            <v:line style="position:absolute" from="2822,794" to="3079,794" stroked="true" strokeweight=".805451pt" strokecolor="#000000">
              <v:stroke dashstyle="solid"/>
            </v:line>
            <v:line style="position:absolute" from="3082,794" to="3339,794" stroked="true" strokeweight=".805451pt" strokecolor="#000000">
              <v:stroke dashstyle="solid"/>
            </v:line>
            <v:line style="position:absolute" from="3341,794" to="3598,794" stroked="true" strokeweight=".805451pt" strokecolor="#000000">
              <v:stroke dashstyle="solid"/>
            </v:line>
            <v:line style="position:absolute" from="3600,794" to="4119,794" stroked="true" strokeweight=".805451pt" strokecolor="#000000">
              <v:stroke dashstyle="solid"/>
            </v:line>
            <v:line style="position:absolute" from="4121,794" to="4769,794" stroked="true" strokeweight=".805451pt" strokecolor="#000000">
              <v:stroke dashstyle="solid"/>
            </v:line>
            <v:line style="position:absolute" from="4771,793" to="5028,793" stroked="true" strokeweight=".583660pt" strokecolor="#000000">
              <v:stroke dashstyle="solid"/>
            </v:line>
            <v:line style="position:absolute" from="5030,793" to="6067,793" stroked="true" strokeweight=".583660pt" strokecolor="#000000">
              <v:stroke dashstyle="solid"/>
            </v:line>
            <v:line style="position:absolute" from="6070,794" to="6327,794" stroked="true" strokeweight=".805451pt" strokecolor="#000000">
              <v:stroke dashstyle="solid"/>
            </v:line>
            <v:line style="position:absolute" from="6329,794" to="7107,794" stroked="true" strokeweight=".805451pt" strokecolor="#000000">
              <v:stroke dashstyle="solid"/>
            </v:line>
            <v:line style="position:absolute" from="7109,794" to="7366,794" stroked="true" strokeweight=".805451pt" strokecolor="#000000">
              <v:stroke dashstyle="solid"/>
            </v:line>
            <v:line style="position:absolute" from="7368,794" to="8016,794" stroked="true" strokeweight=".805451pt" strokecolor="#000000">
              <v:stroke dashstyle="solid"/>
            </v:line>
            <v:line style="position:absolute" from="8018,794" to="8275,794" stroked="true" strokeweight=".805451pt" strokecolor="#000000">
              <v:stroke dashstyle="solid"/>
            </v:line>
            <v:line style="position:absolute" from="8278,794" to="8796,794" stroked="true" strokeweight=".805451pt" strokecolor="#000000">
              <v:stroke dashstyle="solid"/>
            </v:line>
            <v:line style="position:absolute" from="8798,794" to="9055,794" stroked="true" strokeweight=".805451pt" strokecolor="#000000">
              <v:stroke dashstyle="solid"/>
            </v:line>
            <v:line style="position:absolute" from="9058,794" to="9315,794" stroked="true" strokeweight=".805451pt" strokecolor="#000000">
              <v:stroke dashstyle="solid"/>
            </v:line>
            <v:line style="position:absolute" from="9317,794" to="9835,794" stroked="true" strokeweight=".805451pt" strokecolor="#000000">
              <v:stroke dashstyle="solid"/>
            </v:line>
            <v:line style="position:absolute" from="9838,794" to="10095,794" stroked="true" strokeweight=".805451pt" strokecolor="#000000">
              <v:stroke dashstyle="solid"/>
            </v:line>
            <w10:wrap type="topAndBottom"/>
          </v:group>
        </w:pict>
      </w:r>
    </w:p>
    <w:p>
      <w:pPr>
        <w:pStyle w:val="BodyText"/>
        <w:spacing w:before="9"/>
        <w:rPr>
          <w:b/>
          <w:sz w:val="27"/>
        </w:rPr>
      </w:pPr>
    </w:p>
    <w:p>
      <w:pPr>
        <w:tabs>
          <w:tab w:pos="3979" w:val="left" w:leader="none"/>
          <w:tab w:pos="6096" w:val="left" w:leader="none"/>
          <w:tab w:pos="10013" w:val="left" w:leader="none"/>
        </w:tabs>
        <w:spacing w:line="364" w:lineRule="auto" w:before="111"/>
        <w:ind w:left="164" w:right="186" w:firstLine="0"/>
        <w:jc w:val="both"/>
        <w:rPr>
          <w:b/>
          <w:sz w:val="23"/>
        </w:rPr>
      </w:pPr>
      <w:r>
        <w:rPr>
          <w:b/>
          <w:sz w:val="23"/>
        </w:rPr>
        <w:t>Data de início de</w:t>
      </w:r>
      <w:r>
        <w:rPr>
          <w:b/>
          <w:spacing w:val="32"/>
          <w:sz w:val="23"/>
        </w:rPr>
        <w:t> </w:t>
      </w:r>
      <w:r>
        <w:rPr>
          <w:b/>
          <w:sz w:val="23"/>
        </w:rPr>
        <w:t>funcionamento</w:t>
      </w:r>
      <w:r>
        <w:rPr>
          <w:sz w:val="23"/>
        </w:rPr>
        <w:t>:</w:t>
      </w:r>
      <w:r>
        <w:rPr>
          <w:spacing w:val="8"/>
          <w:sz w:val="23"/>
        </w:rPr>
        <w:t> </w:t>
      </w:r>
      <w:r>
        <w:rPr>
          <w:b/>
          <w:sz w:val="23"/>
        </w:rPr>
        <w:t>_</w:t>
      </w:r>
      <w:r>
        <w:rPr>
          <w:b/>
          <w:w w:val="101"/>
          <w:sz w:val="23"/>
          <w:u w:val="single"/>
        </w:rPr>
        <w:t> </w:t>
      </w:r>
      <w:r>
        <w:rPr>
          <w:b/>
          <w:sz w:val="23"/>
          <w:u w:val="single"/>
        </w:rPr>
        <w:tab/>
        <w:tab/>
      </w:r>
      <w:r>
        <w:rPr>
          <w:b/>
          <w:w w:val="32"/>
          <w:sz w:val="23"/>
          <w:u w:val="single"/>
        </w:rPr>
        <w:t> </w:t>
      </w:r>
      <w:r>
        <w:rPr>
          <w:b/>
          <w:sz w:val="23"/>
        </w:rPr>
        <w:t>                                                                                    Horário</w:t>
      </w:r>
      <w:r>
        <w:rPr>
          <w:b/>
          <w:spacing w:val="7"/>
          <w:sz w:val="23"/>
        </w:rPr>
        <w:t> </w:t>
      </w:r>
      <w:r>
        <w:rPr>
          <w:b/>
          <w:sz w:val="23"/>
        </w:rPr>
        <w:t>de</w:t>
      </w:r>
      <w:r>
        <w:rPr>
          <w:b/>
          <w:spacing w:val="5"/>
          <w:sz w:val="23"/>
        </w:rPr>
        <w:t> </w:t>
      </w:r>
      <w:r>
        <w:rPr>
          <w:b/>
          <w:sz w:val="23"/>
        </w:rPr>
        <w:t>funcionamento</w:t>
      </w:r>
      <w:r>
        <w:rPr>
          <w:sz w:val="23"/>
        </w:rPr>
        <w:t>:</w:t>
      </w:r>
      <w:r>
        <w:rPr>
          <w:sz w:val="23"/>
          <w:u w:val="single"/>
        </w:rPr>
        <w:t> </w:t>
        <w:tab/>
      </w:r>
      <w:r>
        <w:rPr>
          <w:b/>
          <w:sz w:val="23"/>
        </w:rPr>
        <w:t>_</w:t>
      </w:r>
      <w:r>
        <w:rPr>
          <w:b/>
          <w:sz w:val="23"/>
          <w:u w:val="single"/>
        </w:rPr>
        <w:tab/>
        <w:tab/>
      </w:r>
      <w:r>
        <w:rPr>
          <w:b/>
          <w:sz w:val="23"/>
        </w:rPr>
        <w:t> Número de pacientes atendidos por</w:t>
      </w:r>
      <w:r>
        <w:rPr>
          <w:b/>
          <w:spacing w:val="41"/>
          <w:sz w:val="23"/>
        </w:rPr>
        <w:t> </w:t>
      </w:r>
      <w:r>
        <w:rPr>
          <w:b/>
          <w:sz w:val="23"/>
        </w:rPr>
        <w:t>dia</w:t>
      </w:r>
      <w:r>
        <w:rPr>
          <w:sz w:val="23"/>
        </w:rPr>
        <w:t>:</w:t>
      </w:r>
      <w:r>
        <w:rPr>
          <w:spacing w:val="7"/>
          <w:sz w:val="23"/>
        </w:rPr>
        <w:t> </w:t>
      </w:r>
      <w:r>
        <w:rPr>
          <w:sz w:val="23"/>
        </w:rPr>
        <w:t>_</w:t>
      </w:r>
      <w:r>
        <w:rPr>
          <w:sz w:val="23"/>
          <w:u w:val="single"/>
        </w:rPr>
        <w:t> </w:t>
        <w:tab/>
      </w:r>
      <w:r>
        <w:rPr>
          <w:sz w:val="23"/>
        </w:rPr>
        <w:t>_ </w:t>
      </w:r>
      <w:r>
        <w:rPr>
          <w:b/>
          <w:sz w:val="23"/>
        </w:rPr>
        <w:t>Número</w:t>
      </w:r>
      <w:r>
        <w:rPr>
          <w:b/>
          <w:spacing w:val="5"/>
          <w:sz w:val="23"/>
        </w:rPr>
        <w:t> </w:t>
      </w:r>
      <w:r>
        <w:rPr>
          <w:b/>
          <w:sz w:val="23"/>
        </w:rPr>
        <w:t>de</w:t>
      </w:r>
    </w:p>
    <w:p>
      <w:pPr>
        <w:tabs>
          <w:tab w:pos="2856" w:val="left" w:leader="none"/>
        </w:tabs>
        <w:spacing w:before="3"/>
        <w:ind w:left="164" w:right="0" w:firstLine="0"/>
        <w:jc w:val="left"/>
        <w:rPr>
          <w:sz w:val="23"/>
        </w:rPr>
      </w:pPr>
      <w:r>
        <w:rPr>
          <w:b/>
          <w:sz w:val="23"/>
        </w:rPr>
        <w:t>funcionários</w:t>
      </w:r>
      <w:r>
        <w:rPr>
          <w:sz w:val="23"/>
        </w:rPr>
        <w:t>:</w:t>
      </w:r>
      <w:r>
        <w:rPr>
          <w:sz w:val="23"/>
          <w:u w:val="single"/>
        </w:rPr>
        <w:t> </w:t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8"/>
        </w:rPr>
      </w:pPr>
    </w:p>
    <w:p>
      <w:pPr>
        <w:spacing w:before="103"/>
        <w:ind w:left="164" w:right="0" w:firstLine="0"/>
        <w:jc w:val="left"/>
        <w:rPr>
          <w:b/>
          <w:sz w:val="23"/>
        </w:rPr>
      </w:pPr>
      <w:r>
        <w:rPr>
          <w:b/>
          <w:sz w:val="23"/>
        </w:rPr>
        <w:t>Pretende ampliar ou diversificar o empreendimento?</w:t>
      </w:r>
    </w:p>
    <w:p>
      <w:pPr>
        <w:pStyle w:val="BodyText"/>
        <w:tabs>
          <w:tab w:pos="1241" w:val="left" w:leader="none"/>
        </w:tabs>
        <w:spacing w:before="139"/>
        <w:ind w:left="164"/>
      </w:pPr>
      <w:r>
        <w:rPr/>
        <w:t>(  </w:t>
      </w:r>
      <w:r>
        <w:rPr>
          <w:spacing w:val="4"/>
        </w:rPr>
        <w:t> </w:t>
      </w:r>
      <w:r>
        <w:rPr/>
        <w:t>)</w:t>
      </w:r>
      <w:r>
        <w:rPr>
          <w:spacing w:val="3"/>
        </w:rPr>
        <w:t> </w:t>
      </w:r>
      <w:r>
        <w:rPr/>
        <w:t>Sim</w:t>
        <w:tab/>
        <w:t>( )</w:t>
      </w:r>
      <w:r>
        <w:rPr>
          <w:spacing w:val="3"/>
        </w:rPr>
        <w:t> </w:t>
      </w:r>
      <w:r>
        <w:rPr/>
        <w:t>Não</w:t>
      </w:r>
    </w:p>
    <w:p>
      <w:pPr>
        <w:spacing w:after="0"/>
        <w:sectPr>
          <w:type w:val="continuous"/>
          <w:pgSz w:w="11900" w:h="16840"/>
          <w:pgMar w:top="1600" w:bottom="280" w:left="580" w:right="1080"/>
        </w:sectPr>
      </w:pPr>
    </w:p>
    <w:p>
      <w:pPr>
        <w:pStyle w:val="BodyText"/>
        <w:spacing w:before="10"/>
        <w:rPr>
          <w:sz w:val="9"/>
        </w:rPr>
      </w:pPr>
    </w:p>
    <w:p>
      <w:pPr>
        <w:tabs>
          <w:tab w:pos="9912" w:val="left" w:leader="none"/>
        </w:tabs>
        <w:spacing w:before="103"/>
        <w:ind w:left="163" w:right="0" w:firstLine="0"/>
        <w:jc w:val="left"/>
        <w:rPr>
          <w:sz w:val="23"/>
        </w:rPr>
      </w:pPr>
      <w:r>
        <w:rPr>
          <w:b/>
          <w:sz w:val="23"/>
        </w:rPr>
        <w:t>Descrição</w:t>
      </w:r>
      <w:r>
        <w:rPr>
          <w:sz w:val="23"/>
        </w:rPr>
        <w:t>:</w:t>
      </w:r>
      <w:r>
        <w:rPr>
          <w:spacing w:val="15"/>
          <w:sz w:val="23"/>
        </w:rPr>
        <w:t> </w:t>
      </w:r>
      <w:r>
        <w:rPr>
          <w:sz w:val="23"/>
        </w:rPr>
        <w:t>_</w:t>
      </w:r>
      <w:r>
        <w:rPr>
          <w:w w:val="101"/>
          <w:sz w:val="23"/>
          <w:u w:val="single"/>
        </w:rPr>
        <w:t> </w:t>
      </w:r>
      <w:r>
        <w:rPr>
          <w:sz w:val="23"/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8"/>
        </w:rPr>
      </w:pPr>
    </w:p>
    <w:p>
      <w:pPr>
        <w:pStyle w:val="Heading1"/>
        <w:spacing w:before="103"/>
        <w:rPr>
          <w:b w:val="0"/>
        </w:rPr>
      </w:pPr>
      <w:r>
        <w:rPr>
          <w:color w:val="007F00"/>
        </w:rPr>
        <w:t>Responsável Técnico pelo Plano de Gerenciamento de Resíduos</w:t>
      </w:r>
      <w:r>
        <w:rPr>
          <w:b w:val="0"/>
          <w:color w:val="007F00"/>
        </w:rPr>
        <w:t>:</w:t>
      </w:r>
    </w:p>
    <w:p>
      <w:pPr>
        <w:tabs>
          <w:tab w:pos="9833" w:val="left" w:leader="none"/>
        </w:tabs>
        <w:spacing w:before="139"/>
        <w:ind w:left="163" w:right="0" w:firstLine="0"/>
        <w:jc w:val="left"/>
        <w:rPr>
          <w:sz w:val="23"/>
        </w:rPr>
      </w:pPr>
      <w:r>
        <w:rPr>
          <w:b/>
          <w:sz w:val="23"/>
        </w:rPr>
        <w:t>Nome</w:t>
      </w:r>
      <w:r>
        <w:rPr>
          <w:sz w:val="23"/>
        </w:rPr>
        <w:t>:</w:t>
      </w:r>
      <w:r>
        <w:rPr>
          <w:spacing w:val="3"/>
          <w:sz w:val="23"/>
        </w:rPr>
        <w:t> </w:t>
      </w:r>
      <w:r>
        <w:rPr>
          <w:w w:val="101"/>
          <w:sz w:val="23"/>
          <w:u w:val="single"/>
        </w:rPr>
        <w:t> </w:t>
      </w:r>
      <w:r>
        <w:rPr>
          <w:sz w:val="23"/>
          <w:u w:val="single"/>
        </w:rPr>
        <w:tab/>
      </w:r>
    </w:p>
    <w:p>
      <w:pPr>
        <w:tabs>
          <w:tab w:pos="9794" w:val="left" w:leader="none"/>
        </w:tabs>
        <w:spacing w:before="139"/>
        <w:ind w:left="163" w:right="0" w:firstLine="0"/>
        <w:jc w:val="left"/>
        <w:rPr>
          <w:sz w:val="23"/>
        </w:rPr>
      </w:pPr>
      <w:r>
        <w:rPr>
          <w:b/>
          <w:sz w:val="23"/>
        </w:rPr>
        <w:t>R.G</w:t>
      </w:r>
      <w:r>
        <w:rPr>
          <w:sz w:val="23"/>
        </w:rPr>
        <w:t>.:</w:t>
      </w:r>
      <w:r>
        <w:rPr>
          <w:spacing w:val="3"/>
          <w:sz w:val="23"/>
        </w:rPr>
        <w:t> </w:t>
      </w:r>
      <w:r>
        <w:rPr>
          <w:w w:val="101"/>
          <w:sz w:val="23"/>
          <w:u w:val="single"/>
        </w:rPr>
        <w:t> </w:t>
      </w:r>
      <w:r>
        <w:rPr>
          <w:sz w:val="23"/>
          <w:u w:val="single"/>
        </w:rPr>
        <w:tab/>
      </w:r>
    </w:p>
    <w:p>
      <w:pPr>
        <w:tabs>
          <w:tab w:pos="5124" w:val="left" w:leader="none"/>
          <w:tab w:pos="5748" w:val="left" w:leader="none"/>
          <w:tab w:pos="5916" w:val="left" w:leader="none"/>
          <w:tab w:pos="9775" w:val="left" w:leader="none"/>
          <w:tab w:pos="9818" w:val="left" w:leader="none"/>
          <w:tab w:pos="9900" w:val="left" w:leader="none"/>
          <w:tab w:pos="10077" w:val="left" w:leader="none"/>
        </w:tabs>
        <w:spacing w:line="364" w:lineRule="auto" w:before="138"/>
        <w:ind w:left="164" w:right="160" w:hanging="1"/>
        <w:jc w:val="left"/>
        <w:rPr>
          <w:sz w:val="23"/>
        </w:rPr>
      </w:pPr>
      <w:r>
        <w:rPr>
          <w:b/>
          <w:sz w:val="23"/>
        </w:rPr>
        <w:t>Profissão</w:t>
      </w:r>
      <w:r>
        <w:rPr>
          <w:sz w:val="23"/>
        </w:rPr>
        <w:t>:</w:t>
      </w:r>
      <w:r>
        <w:rPr>
          <w:sz w:val="23"/>
          <w:u w:val="single"/>
        </w:rPr>
        <w:t> </w:t>
        <w:tab/>
      </w:r>
      <w:r>
        <w:rPr>
          <w:sz w:val="23"/>
        </w:rPr>
        <w:t>_</w:t>
      </w:r>
      <w:r>
        <w:rPr>
          <w:b/>
          <w:sz w:val="23"/>
        </w:rPr>
        <w:t>Registro</w:t>
      </w:r>
      <w:r>
        <w:rPr>
          <w:b/>
          <w:spacing w:val="14"/>
          <w:sz w:val="23"/>
        </w:rPr>
        <w:t> </w:t>
      </w:r>
      <w:r>
        <w:rPr>
          <w:b/>
          <w:sz w:val="23"/>
        </w:rPr>
        <w:t>no</w:t>
      </w:r>
      <w:r>
        <w:rPr>
          <w:b/>
          <w:spacing w:val="15"/>
          <w:sz w:val="23"/>
        </w:rPr>
        <w:t> </w:t>
      </w:r>
      <w:r>
        <w:rPr>
          <w:b/>
          <w:sz w:val="23"/>
        </w:rPr>
        <w:t>Conselho</w:t>
      </w:r>
      <w:r>
        <w:rPr>
          <w:sz w:val="23"/>
        </w:rPr>
        <w:t>: </w:t>
      </w:r>
      <w:r>
        <w:rPr>
          <w:w w:val="101"/>
          <w:sz w:val="23"/>
          <w:u w:val="single"/>
        </w:rPr>
        <w:t> </w:t>
      </w:r>
      <w:r>
        <w:rPr>
          <w:sz w:val="23"/>
          <w:u w:val="single"/>
        </w:rPr>
        <w:tab/>
        <w:tab/>
        <w:tab/>
        <w:tab/>
      </w:r>
      <w:r>
        <w:rPr>
          <w:sz w:val="23"/>
        </w:rPr>
        <w:t>                       </w:t>
      </w:r>
      <w:r>
        <w:rPr>
          <w:b/>
          <w:sz w:val="23"/>
        </w:rPr>
        <w:t>Endereço</w:t>
      </w:r>
      <w:r>
        <w:rPr>
          <w:b/>
          <w:spacing w:val="9"/>
          <w:sz w:val="23"/>
        </w:rPr>
        <w:t> </w:t>
      </w:r>
      <w:r>
        <w:rPr>
          <w:b/>
          <w:sz w:val="23"/>
        </w:rPr>
        <w:t>residencial</w:t>
      </w:r>
      <w:r>
        <w:rPr>
          <w:sz w:val="23"/>
        </w:rPr>
        <w:t>:</w:t>
      </w:r>
      <w:r>
        <w:rPr>
          <w:sz w:val="23"/>
          <w:u w:val="single"/>
        </w:rPr>
        <w:t> </w:t>
        <w:tab/>
        <w:tab/>
        <w:tab/>
        <w:tab/>
      </w:r>
      <w:r>
        <w:rPr>
          <w:sz w:val="23"/>
        </w:rPr>
        <w:t>_ </w:t>
      </w:r>
      <w:r>
        <w:rPr>
          <w:b/>
          <w:sz w:val="23"/>
        </w:rPr>
        <w:t>Bairro</w:t>
      </w:r>
      <w:r>
        <w:rPr>
          <w:sz w:val="23"/>
        </w:rPr>
        <w:t>:</w:t>
      </w:r>
      <w:r>
        <w:rPr>
          <w:sz w:val="23"/>
          <w:u w:val="single"/>
        </w:rPr>
        <w:t> </w:t>
        <w:tab/>
        <w:tab/>
        <w:tab/>
      </w:r>
      <w:r>
        <w:rPr>
          <w:b/>
          <w:sz w:val="23"/>
        </w:rPr>
        <w:t>CEP</w:t>
      </w:r>
      <w:r>
        <w:rPr>
          <w:sz w:val="23"/>
        </w:rPr>
        <w:t>:</w:t>
      </w:r>
      <w:r>
        <w:rPr>
          <w:sz w:val="23"/>
          <w:u w:val="single"/>
        </w:rPr>
        <w:tab/>
        <w:tab/>
        <w:tab/>
      </w:r>
      <w:r>
        <w:rPr>
          <w:sz w:val="23"/>
        </w:rPr>
        <w:t> </w:t>
      </w:r>
      <w:r>
        <w:rPr>
          <w:b/>
          <w:sz w:val="23"/>
        </w:rPr>
        <w:t>Cidade</w:t>
      </w:r>
      <w:r>
        <w:rPr>
          <w:sz w:val="23"/>
        </w:rPr>
        <w:t>:</w:t>
      </w:r>
      <w:r>
        <w:rPr>
          <w:sz w:val="23"/>
          <w:u w:val="single"/>
        </w:rPr>
        <w:t> </w:t>
        <w:tab/>
        <w:tab/>
      </w:r>
      <w:r>
        <w:rPr>
          <w:sz w:val="23"/>
        </w:rPr>
        <w:t>_</w:t>
      </w:r>
      <w:r>
        <w:rPr>
          <w:b/>
          <w:sz w:val="23"/>
        </w:rPr>
        <w:t>Estado</w:t>
      </w:r>
      <w:r>
        <w:rPr>
          <w:sz w:val="23"/>
        </w:rPr>
        <w:t>:</w:t>
      </w:r>
      <w:r>
        <w:rPr>
          <w:sz w:val="23"/>
          <w:u w:val="single"/>
        </w:rPr>
        <w:t> </w:t>
        <w:tab/>
      </w:r>
      <w:r>
        <w:rPr>
          <w:sz w:val="23"/>
        </w:rPr>
        <w:t>_ </w:t>
      </w:r>
      <w:r>
        <w:rPr>
          <w:b/>
          <w:sz w:val="23"/>
        </w:rPr>
        <w:t>Fone /</w:t>
      </w:r>
      <w:r>
        <w:rPr>
          <w:b/>
          <w:spacing w:val="11"/>
          <w:sz w:val="23"/>
        </w:rPr>
        <w:t> </w:t>
      </w:r>
      <w:r>
        <w:rPr>
          <w:b/>
          <w:sz w:val="23"/>
        </w:rPr>
        <w:t>Fax</w:t>
      </w:r>
      <w:r>
        <w:rPr>
          <w:sz w:val="23"/>
        </w:rPr>
        <w:t>:</w:t>
      </w:r>
      <w:r>
        <w:rPr>
          <w:spacing w:val="3"/>
          <w:sz w:val="23"/>
        </w:rPr>
        <w:t> </w:t>
      </w:r>
      <w:r>
        <w:rPr>
          <w:w w:val="101"/>
          <w:sz w:val="23"/>
          <w:u w:val="single"/>
        </w:rPr>
        <w:t> </w:t>
      </w:r>
      <w:r>
        <w:rPr>
          <w:sz w:val="23"/>
          <w:u w:val="single"/>
        </w:rPr>
        <w:tab/>
        <w:tab/>
        <w:tab/>
        <w:tab/>
        <w:tab/>
      </w:r>
    </w:p>
    <w:p>
      <w:pPr>
        <w:tabs>
          <w:tab w:pos="9989" w:val="left" w:leader="none"/>
        </w:tabs>
        <w:spacing w:before="4"/>
        <w:ind w:left="164" w:right="0" w:firstLine="0"/>
        <w:jc w:val="left"/>
        <w:rPr>
          <w:sz w:val="23"/>
        </w:rPr>
      </w:pPr>
      <w:r>
        <w:rPr>
          <w:b/>
          <w:sz w:val="23"/>
        </w:rPr>
        <w:t>e-mail</w:t>
      </w:r>
      <w:r>
        <w:rPr>
          <w:sz w:val="23"/>
        </w:rPr>
        <w:t>:</w:t>
      </w:r>
      <w:r>
        <w:rPr>
          <w:spacing w:val="8"/>
          <w:sz w:val="23"/>
        </w:rPr>
        <w:t> </w:t>
      </w:r>
      <w:r>
        <w:rPr>
          <w:sz w:val="23"/>
        </w:rPr>
        <w:t>_</w:t>
      </w:r>
      <w:r>
        <w:rPr>
          <w:w w:val="101"/>
          <w:sz w:val="23"/>
          <w:u w:val="single"/>
        </w:rPr>
        <w:t> </w:t>
      </w:r>
      <w:r>
        <w:rPr>
          <w:sz w:val="23"/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8"/>
        </w:rPr>
      </w:pPr>
    </w:p>
    <w:p>
      <w:pPr>
        <w:pStyle w:val="Heading1"/>
        <w:numPr>
          <w:ilvl w:val="0"/>
          <w:numId w:val="1"/>
        </w:numPr>
        <w:tabs>
          <w:tab w:pos="424" w:val="left" w:leader="none"/>
        </w:tabs>
        <w:spacing w:line="240" w:lineRule="auto" w:before="103" w:after="0"/>
        <w:ind w:left="423" w:right="0" w:hanging="261"/>
        <w:jc w:val="left"/>
      </w:pPr>
      <w:r>
        <w:rPr>
          <w:color w:val="007F00"/>
        </w:rPr>
        <w:t>IDENTIFICAÇÃO DOS RESÍDUOS</w:t>
      </w:r>
      <w:r>
        <w:rPr>
          <w:color w:val="007F00"/>
          <w:spacing w:val="5"/>
        </w:rPr>
        <w:t> </w:t>
      </w:r>
      <w:r>
        <w:rPr>
          <w:color w:val="007F00"/>
        </w:rPr>
        <w:t>GERADOS</w:t>
      </w:r>
    </w:p>
    <w:p>
      <w:pPr>
        <w:pStyle w:val="BodyText"/>
        <w:spacing w:before="141"/>
        <w:ind w:left="163"/>
      </w:pPr>
      <w:r>
        <w:rPr/>
        <w:t>Assinale com um X os resíduos que são gerados no estabelecimento: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Heading1"/>
        <w:spacing w:before="1"/>
      </w:pPr>
      <w:r>
        <w:rPr>
          <w:color w:val="007F00"/>
        </w:rPr>
        <w:t>GRUPO A: RESÍDUOS INFECTANTES</w:t>
      </w:r>
    </w:p>
    <w:p>
      <w:pPr>
        <w:pStyle w:val="BodyText"/>
        <w:spacing w:line="367" w:lineRule="auto" w:before="138"/>
        <w:ind w:left="163" w:right="373"/>
      </w:pPr>
      <w:r>
        <w:rPr/>
        <w:t>Resíduos que apresentam risco potencial à saúde pública e ao meio ambiente devido à presença de agentes biológicos</w:t>
      </w:r>
    </w:p>
    <w:p>
      <w:pPr>
        <w:pStyle w:val="BodyText"/>
        <w:spacing w:line="367" w:lineRule="auto"/>
        <w:ind w:left="163" w:right="1779"/>
      </w:pPr>
      <w:r>
        <w:rPr/>
        <w:t>(  ) Meios de cultura inoculado proveniente de laboratório clínico ou de pesquisa.  ( ) Espécimes de laboratório de análises clínicas e patologia</w:t>
      </w:r>
      <w:r>
        <w:rPr>
          <w:spacing w:val="29"/>
        </w:rPr>
        <w:t> </w:t>
      </w:r>
      <w:r>
        <w:rPr/>
        <w:t>clínica.</w:t>
      </w:r>
    </w:p>
    <w:p>
      <w:pPr>
        <w:pStyle w:val="BodyText"/>
        <w:spacing w:line="262" w:lineRule="exact"/>
        <w:ind w:left="163"/>
      </w:pPr>
      <w:r>
        <w:rPr/>
        <w:t>( ) Vacinas vencidas ou inutilizadas.</w:t>
      </w:r>
    </w:p>
    <w:p>
      <w:pPr>
        <w:pStyle w:val="BodyText"/>
        <w:spacing w:line="364" w:lineRule="auto" w:before="136"/>
        <w:ind w:left="163" w:right="4388"/>
      </w:pPr>
      <w:r>
        <w:rPr/>
        <w:t>(   ) Filtros de gases aspirados de áreas contaminadas. ( ) Sangue e</w:t>
      </w:r>
      <w:r>
        <w:rPr>
          <w:spacing w:val="6"/>
        </w:rPr>
        <w:t> </w:t>
      </w:r>
      <w:r>
        <w:rPr/>
        <w:t>hemoderivados.</w:t>
      </w:r>
    </w:p>
    <w:p>
      <w:pPr>
        <w:pStyle w:val="BodyText"/>
        <w:spacing w:before="3"/>
        <w:ind w:left="163"/>
      </w:pPr>
      <w:r>
        <w:rPr/>
        <w:t>( )Tecidos, órgãos, fetos e peças anatômicas.</w:t>
      </w:r>
    </w:p>
    <w:p>
      <w:pPr>
        <w:pStyle w:val="BodyText"/>
        <w:spacing w:line="364" w:lineRule="auto" w:before="138"/>
        <w:ind w:left="163" w:right="476"/>
        <w:jc w:val="both"/>
      </w:pPr>
      <w:r>
        <w:rPr/>
        <w:t>( ) Carcaça ou parte animal inoculado, exposto à microorganismos patogênicos ou portador de doença infecto-contagiosa, bem como resíduos que tenham estado em contato com este.  ( ) Secreções, excreções e demais líquidos orgânicos procedentes de</w:t>
      </w:r>
      <w:r>
        <w:rPr>
          <w:spacing w:val="45"/>
        </w:rPr>
        <w:t> </w:t>
      </w:r>
      <w:r>
        <w:rPr/>
        <w:t>pacientes.</w:t>
      </w:r>
    </w:p>
    <w:p>
      <w:pPr>
        <w:pStyle w:val="BodyText"/>
        <w:spacing w:before="4"/>
        <w:ind w:left="163"/>
        <w:jc w:val="both"/>
      </w:pPr>
      <w:r>
        <w:rPr/>
        <w:t>( ) Resíduos advindos da área de isolamento.</w:t>
      </w:r>
    </w:p>
    <w:p>
      <w:pPr>
        <w:pStyle w:val="BodyText"/>
        <w:spacing w:line="367" w:lineRule="auto" w:before="136"/>
        <w:ind w:left="163" w:right="4631"/>
      </w:pPr>
      <w:r>
        <w:rPr/>
        <w:t>(   ) Restos alimentares de pacientes em isolamento. ( ) Restos de unidades de atendimento</w:t>
      </w:r>
      <w:r>
        <w:rPr>
          <w:spacing w:val="54"/>
        </w:rPr>
        <w:t> </w:t>
      </w:r>
      <w:r>
        <w:rPr/>
        <w:t>ambulatorial</w:t>
      </w:r>
    </w:p>
    <w:p>
      <w:pPr>
        <w:pStyle w:val="BodyText"/>
        <w:spacing w:line="262" w:lineRule="exact"/>
        <w:ind w:left="163"/>
      </w:pPr>
      <w:r>
        <w:rPr/>
        <w:t>( ) Resíduos de sanitários de unidades de internação e enfermaria.</w:t>
      </w:r>
    </w:p>
    <w:p>
      <w:pPr>
        <w:pStyle w:val="BodyText"/>
        <w:spacing w:line="364" w:lineRule="auto" w:before="139"/>
        <w:ind w:left="163" w:right="373"/>
      </w:pPr>
      <w:r>
        <w:rPr/>
        <w:t>( ) Objetos perfurantes ou cortantes, como agulhas, ampolas, pipetas, lâminas de bisturi e vidros quebrados.</w:t>
      </w:r>
    </w:p>
    <w:p>
      <w:pPr>
        <w:spacing w:after="0" w:line="364" w:lineRule="auto"/>
        <w:sectPr>
          <w:pgSz w:w="11900" w:h="16840"/>
          <w:pgMar w:top="1600" w:bottom="280" w:left="58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4"/>
        </w:rPr>
      </w:pPr>
    </w:p>
    <w:p>
      <w:pPr>
        <w:pStyle w:val="Heading1"/>
        <w:spacing w:before="103"/>
      </w:pPr>
      <w:r>
        <w:rPr>
          <w:color w:val="007F00"/>
        </w:rPr>
        <w:t>GRUPO B: RESÍDUOS QUÍMICOS</w:t>
      </w:r>
    </w:p>
    <w:p>
      <w:pPr>
        <w:pStyle w:val="BodyText"/>
        <w:spacing w:line="364" w:lineRule="auto" w:before="141"/>
        <w:ind w:left="163"/>
      </w:pPr>
      <w:r>
        <w:rPr/>
        <w:t>Resíduos que apresentam risco potencial à saúde pública e ao meio ambiente devido às suas características químicas.</w:t>
      </w:r>
    </w:p>
    <w:p>
      <w:pPr>
        <w:pStyle w:val="BodyText"/>
        <w:spacing w:before="3"/>
        <w:ind w:left="163"/>
      </w:pPr>
      <w:r>
        <w:rPr/>
        <w:t>( ) Drogas quimioterápicas e produtos por elas contaminados.</w:t>
      </w:r>
    </w:p>
    <w:p>
      <w:pPr>
        <w:pStyle w:val="BodyText"/>
        <w:spacing w:before="138"/>
        <w:ind w:left="163"/>
      </w:pPr>
      <w:r>
        <w:rPr/>
        <w:t>( ) Medicamentos vencidos, contaminados, interditados ou não utilizados.</w:t>
      </w:r>
    </w:p>
    <w:p>
      <w:pPr>
        <w:pStyle w:val="BodyText"/>
        <w:spacing w:line="367" w:lineRule="auto" w:before="137"/>
        <w:ind w:left="163"/>
      </w:pPr>
      <w:r>
        <w:rPr/>
        <w:t>( ) Demais produtos considerados perigosos, conforme classificação da NBR 10.004 da ABNT (tóxicos, corrosivos, inflamáveis ou reativos).</w:t>
      </w:r>
    </w:p>
    <w:p>
      <w:pPr>
        <w:pStyle w:val="BodyText"/>
        <w:spacing w:before="9"/>
        <w:rPr>
          <w:sz w:val="34"/>
        </w:rPr>
      </w:pPr>
    </w:p>
    <w:p>
      <w:pPr>
        <w:pStyle w:val="Heading1"/>
      </w:pPr>
      <w:r>
        <w:rPr>
          <w:color w:val="007F00"/>
        </w:rPr>
        <w:t>GRUPO C: RESÍDUOS RADIOATIVOS</w:t>
      </w:r>
    </w:p>
    <w:p>
      <w:pPr>
        <w:pStyle w:val="BodyText"/>
        <w:spacing w:line="364" w:lineRule="auto" w:before="139"/>
        <w:ind w:left="163" w:right="215"/>
      </w:pPr>
      <w:r>
        <w:rPr/>
        <w:t>( ) Rejeitos radioativos ou contaminados com radionuclídeos, provenientes de laboratórios de análises clínicas, serviços de medicina nuclear e radioterapia, de acordo com a Resolução CNEN 6.05.</w:t>
      </w:r>
    </w:p>
    <w:p>
      <w:pPr>
        <w:pStyle w:val="BodyText"/>
        <w:spacing w:before="1"/>
        <w:rPr>
          <w:sz w:val="35"/>
        </w:rPr>
      </w:pPr>
    </w:p>
    <w:p>
      <w:pPr>
        <w:pStyle w:val="Heading1"/>
        <w:spacing w:before="1"/>
      </w:pPr>
      <w:r>
        <w:rPr>
          <w:color w:val="007F00"/>
        </w:rPr>
        <w:t>GRUPO D: RESÍDUOS COMUNS</w:t>
      </w:r>
    </w:p>
    <w:p>
      <w:pPr>
        <w:pStyle w:val="BodyText"/>
        <w:spacing w:line="364" w:lineRule="auto" w:before="141"/>
        <w:ind w:left="163"/>
      </w:pPr>
      <w:r>
        <w:rPr/>
        <w:t>( ) Todos aqueles que não se enquadram nos grupos acima e que, por sua semelhança aos resíduos domésticos, não oferecem risco adicional à saúde pública.</w:t>
      </w:r>
    </w:p>
    <w:p>
      <w:pPr>
        <w:pStyle w:val="BodyText"/>
        <w:spacing w:before="9"/>
        <w:rPr>
          <w:sz w:val="34"/>
        </w:rPr>
      </w:pPr>
    </w:p>
    <w:p>
      <w:pPr>
        <w:pStyle w:val="Heading1"/>
        <w:numPr>
          <w:ilvl w:val="0"/>
          <w:numId w:val="1"/>
        </w:numPr>
        <w:tabs>
          <w:tab w:pos="424" w:val="left" w:leader="none"/>
        </w:tabs>
        <w:spacing w:line="240" w:lineRule="auto" w:before="0" w:after="0"/>
        <w:ind w:left="423" w:right="0" w:hanging="261"/>
        <w:jc w:val="left"/>
      </w:pPr>
      <w:r>
        <w:rPr>
          <w:color w:val="007F00"/>
        </w:rPr>
        <w:t>QUANTIFICAÇÃO DOS</w:t>
      </w:r>
      <w:r>
        <w:rPr>
          <w:color w:val="007F00"/>
          <w:spacing w:val="4"/>
        </w:rPr>
        <w:t> </w:t>
      </w:r>
      <w:r>
        <w:rPr>
          <w:color w:val="007F00"/>
        </w:rPr>
        <w:t>RESÍDUOS</w:t>
      </w:r>
    </w:p>
    <w:p>
      <w:pPr>
        <w:pStyle w:val="BodyText"/>
        <w:spacing w:before="144"/>
        <w:ind w:left="163"/>
      </w:pPr>
      <w:r>
        <w:rPr/>
        <w:t>Indique a quantidade gerada de cada tipo de resíduos, em litros ou em kg por</w:t>
      </w:r>
      <w:r>
        <w:rPr>
          <w:spacing w:val="53"/>
        </w:rPr>
        <w:t> </w:t>
      </w:r>
      <w:r>
        <w:rPr/>
        <w:t>semana: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7"/>
        </w:rPr>
      </w:pPr>
    </w:p>
    <w:tbl>
      <w:tblPr>
        <w:tblW w:w="0" w:type="auto"/>
        <w:jc w:val="left"/>
        <w:tblInd w:w="1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802"/>
        <w:gridCol w:w="2273"/>
        <w:gridCol w:w="1854"/>
      </w:tblGrid>
      <w:tr>
        <w:trPr>
          <w:trHeight w:val="535" w:hRule="atLeast"/>
        </w:trPr>
        <w:tc>
          <w:tcPr>
            <w:tcW w:w="5802" w:type="dxa"/>
          </w:tcPr>
          <w:p>
            <w:pPr>
              <w:pStyle w:val="TableParagraph"/>
              <w:tabs>
                <w:tab w:pos="5639" w:val="left" w:leader="none"/>
              </w:tabs>
              <w:spacing w:line="263" w:lineRule="exact"/>
              <w:ind w:left="50"/>
              <w:rPr>
                <w:sz w:val="23"/>
              </w:rPr>
            </w:pPr>
            <w:r>
              <w:rPr>
                <w:sz w:val="23"/>
              </w:rPr>
              <w:t>Grupo A,</w:t>
            </w:r>
            <w:r>
              <w:rPr>
                <w:spacing w:val="9"/>
                <w:sz w:val="23"/>
              </w:rPr>
              <w:t> </w:t>
            </w:r>
            <w:r>
              <w:rPr>
                <w:sz w:val="23"/>
              </w:rPr>
              <w:t>Resíduos</w:t>
            </w:r>
            <w:r>
              <w:rPr>
                <w:spacing w:val="7"/>
                <w:sz w:val="23"/>
              </w:rPr>
              <w:t> </w:t>
            </w:r>
            <w:r>
              <w:rPr>
                <w:sz w:val="23"/>
              </w:rPr>
              <w:t>Infectantes:</w:t>
            </w:r>
            <w:r>
              <w:rPr>
                <w:sz w:val="23"/>
                <w:u w:val="single"/>
              </w:rPr>
              <w:t> </w:t>
              <w:tab/>
            </w:r>
            <w:r>
              <w:rPr>
                <w:sz w:val="23"/>
              </w:rPr>
              <w:t>(</w:t>
            </w:r>
          </w:p>
        </w:tc>
        <w:tc>
          <w:tcPr>
            <w:tcW w:w="2273" w:type="dxa"/>
          </w:tcPr>
          <w:p>
            <w:pPr>
              <w:pStyle w:val="TableParagraph"/>
              <w:spacing w:line="263" w:lineRule="exact"/>
              <w:ind w:left="115"/>
              <w:rPr>
                <w:sz w:val="23"/>
              </w:rPr>
            </w:pPr>
            <w:r>
              <w:rPr>
                <w:sz w:val="23"/>
              </w:rPr>
              <w:t>)litros por semana (</w:t>
            </w:r>
          </w:p>
        </w:tc>
        <w:tc>
          <w:tcPr>
            <w:tcW w:w="1854" w:type="dxa"/>
          </w:tcPr>
          <w:p>
            <w:pPr>
              <w:pStyle w:val="TableParagraph"/>
              <w:spacing w:line="263" w:lineRule="exact"/>
              <w:ind w:left="70" w:right="8"/>
              <w:jc w:val="center"/>
              <w:rPr>
                <w:sz w:val="23"/>
              </w:rPr>
            </w:pPr>
            <w:r>
              <w:rPr>
                <w:sz w:val="23"/>
              </w:rPr>
              <w:t>) kg por semana</w:t>
            </w:r>
          </w:p>
        </w:tc>
      </w:tr>
      <w:tr>
        <w:trPr>
          <w:trHeight w:val="806" w:hRule="atLeast"/>
        </w:trPr>
        <w:tc>
          <w:tcPr>
            <w:tcW w:w="5802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tabs>
                <w:tab w:pos="5615" w:val="left" w:leader="none"/>
              </w:tabs>
              <w:ind w:left="50"/>
              <w:rPr>
                <w:sz w:val="23"/>
              </w:rPr>
            </w:pPr>
            <w:r>
              <w:rPr>
                <w:sz w:val="23"/>
              </w:rPr>
              <w:t>Grupo B,</w:t>
            </w:r>
            <w:r>
              <w:rPr>
                <w:spacing w:val="11"/>
                <w:sz w:val="23"/>
              </w:rPr>
              <w:t> </w:t>
            </w:r>
            <w:r>
              <w:rPr>
                <w:sz w:val="23"/>
              </w:rPr>
              <w:t>Resíduos</w:t>
            </w:r>
            <w:r>
              <w:rPr>
                <w:spacing w:val="8"/>
                <w:sz w:val="23"/>
              </w:rPr>
              <w:t> </w:t>
            </w:r>
            <w:r>
              <w:rPr>
                <w:sz w:val="23"/>
              </w:rPr>
              <w:t>Químicos:</w:t>
            </w:r>
            <w:r>
              <w:rPr>
                <w:sz w:val="23"/>
                <w:u w:val="single"/>
              </w:rPr>
              <w:t> </w:t>
              <w:tab/>
            </w:r>
            <w:r>
              <w:rPr>
                <w:sz w:val="23"/>
              </w:rPr>
              <w:t>(</w:t>
            </w:r>
          </w:p>
        </w:tc>
        <w:tc>
          <w:tcPr>
            <w:tcW w:w="2273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91"/>
              <w:rPr>
                <w:sz w:val="23"/>
              </w:rPr>
            </w:pPr>
            <w:r>
              <w:rPr>
                <w:sz w:val="23"/>
              </w:rPr>
              <w:t>)litros por semana (</w:t>
            </w:r>
          </w:p>
        </w:tc>
        <w:tc>
          <w:tcPr>
            <w:tcW w:w="1854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56" w:right="42"/>
              <w:jc w:val="center"/>
              <w:rPr>
                <w:sz w:val="23"/>
              </w:rPr>
            </w:pPr>
            <w:r>
              <w:rPr>
                <w:sz w:val="23"/>
              </w:rPr>
              <w:t>) kg por semana</w:t>
            </w:r>
          </w:p>
        </w:tc>
      </w:tr>
      <w:tr>
        <w:trPr>
          <w:trHeight w:val="806" w:hRule="atLeast"/>
        </w:trPr>
        <w:tc>
          <w:tcPr>
            <w:tcW w:w="5802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tabs>
                <w:tab w:pos="5600" w:val="left" w:leader="none"/>
              </w:tabs>
              <w:ind w:left="50"/>
              <w:rPr>
                <w:sz w:val="23"/>
              </w:rPr>
            </w:pPr>
            <w:r>
              <w:rPr>
                <w:sz w:val="23"/>
              </w:rPr>
              <w:t>Grupo C,</w:t>
            </w:r>
            <w:r>
              <w:rPr>
                <w:spacing w:val="13"/>
                <w:sz w:val="23"/>
              </w:rPr>
              <w:t> </w:t>
            </w:r>
            <w:r>
              <w:rPr>
                <w:sz w:val="23"/>
              </w:rPr>
              <w:t>Resíduos</w:t>
            </w:r>
            <w:r>
              <w:rPr>
                <w:spacing w:val="8"/>
                <w:sz w:val="23"/>
              </w:rPr>
              <w:t> </w:t>
            </w:r>
            <w:r>
              <w:rPr>
                <w:sz w:val="23"/>
              </w:rPr>
              <w:t>Radioativos:</w:t>
            </w:r>
            <w:r>
              <w:rPr>
                <w:sz w:val="23"/>
                <w:u w:val="single"/>
              </w:rPr>
              <w:t> </w:t>
              <w:tab/>
            </w:r>
            <w:r>
              <w:rPr>
                <w:sz w:val="23"/>
              </w:rPr>
              <w:t>(</w:t>
            </w:r>
          </w:p>
        </w:tc>
        <w:tc>
          <w:tcPr>
            <w:tcW w:w="2273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77"/>
              <w:rPr>
                <w:sz w:val="23"/>
              </w:rPr>
            </w:pPr>
            <w:r>
              <w:rPr>
                <w:sz w:val="23"/>
              </w:rPr>
              <w:t>)litros por semana (</w:t>
            </w:r>
          </w:p>
        </w:tc>
        <w:tc>
          <w:tcPr>
            <w:tcW w:w="1854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ind w:left="30" w:right="42"/>
              <w:jc w:val="center"/>
              <w:rPr>
                <w:sz w:val="23"/>
              </w:rPr>
            </w:pPr>
            <w:r>
              <w:rPr>
                <w:sz w:val="23"/>
              </w:rPr>
              <w:t>) kg por semana</w:t>
            </w:r>
          </w:p>
        </w:tc>
      </w:tr>
      <w:tr>
        <w:trPr>
          <w:trHeight w:val="535" w:hRule="atLeast"/>
        </w:trPr>
        <w:tc>
          <w:tcPr>
            <w:tcW w:w="5802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tabs>
                <w:tab w:pos="5452" w:val="left" w:leader="none"/>
              </w:tabs>
              <w:spacing w:line="247" w:lineRule="exact"/>
              <w:ind w:left="50"/>
              <w:rPr>
                <w:sz w:val="23"/>
              </w:rPr>
            </w:pPr>
            <w:r>
              <w:rPr>
                <w:sz w:val="23"/>
              </w:rPr>
              <w:t>Grupo D,</w:t>
            </w:r>
            <w:r>
              <w:rPr>
                <w:spacing w:val="13"/>
                <w:sz w:val="23"/>
              </w:rPr>
              <w:t> </w:t>
            </w:r>
            <w:r>
              <w:rPr>
                <w:sz w:val="23"/>
              </w:rPr>
              <w:t>Resíduos</w:t>
            </w:r>
            <w:r>
              <w:rPr>
                <w:spacing w:val="7"/>
                <w:sz w:val="23"/>
              </w:rPr>
              <w:t> </w:t>
            </w:r>
            <w:r>
              <w:rPr>
                <w:sz w:val="23"/>
              </w:rPr>
              <w:t>Comuns:</w:t>
            </w:r>
            <w:r>
              <w:rPr>
                <w:sz w:val="23"/>
                <w:u w:val="single"/>
              </w:rPr>
              <w:t> </w:t>
              <w:tab/>
            </w:r>
            <w:r>
              <w:rPr>
                <w:sz w:val="23"/>
              </w:rPr>
              <w:t>_</w:t>
            </w:r>
            <w:r>
              <w:rPr>
                <w:spacing w:val="1"/>
                <w:sz w:val="23"/>
              </w:rPr>
              <w:t> </w:t>
            </w:r>
            <w:r>
              <w:rPr>
                <w:sz w:val="23"/>
              </w:rPr>
              <w:t>(</w:t>
            </w:r>
          </w:p>
        </w:tc>
        <w:tc>
          <w:tcPr>
            <w:tcW w:w="2273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spacing w:line="247" w:lineRule="exact"/>
              <w:ind w:left="118"/>
              <w:rPr>
                <w:sz w:val="23"/>
              </w:rPr>
            </w:pPr>
            <w:r>
              <w:rPr>
                <w:sz w:val="23"/>
              </w:rPr>
              <w:t>)litros por semana (</w:t>
            </w:r>
          </w:p>
        </w:tc>
        <w:tc>
          <w:tcPr>
            <w:tcW w:w="1854" w:type="dxa"/>
          </w:tcPr>
          <w:p>
            <w:pPr>
              <w:pStyle w:val="TableParagraph"/>
              <w:spacing w:before="4"/>
              <w:rPr>
                <w:sz w:val="23"/>
              </w:rPr>
            </w:pPr>
          </w:p>
          <w:p>
            <w:pPr>
              <w:pStyle w:val="TableParagraph"/>
              <w:spacing w:line="247" w:lineRule="exact"/>
              <w:ind w:left="70" w:right="3"/>
              <w:jc w:val="center"/>
              <w:rPr>
                <w:sz w:val="23"/>
              </w:rPr>
            </w:pPr>
            <w:r>
              <w:rPr>
                <w:sz w:val="23"/>
              </w:rPr>
              <w:t>) kg por semana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7"/>
        </w:rPr>
      </w:pPr>
    </w:p>
    <w:p>
      <w:pPr>
        <w:pStyle w:val="Heading1"/>
        <w:numPr>
          <w:ilvl w:val="0"/>
          <w:numId w:val="1"/>
        </w:numPr>
        <w:tabs>
          <w:tab w:pos="426" w:val="left" w:leader="none"/>
        </w:tabs>
        <w:spacing w:line="240" w:lineRule="auto" w:before="103" w:after="0"/>
        <w:ind w:left="425" w:right="0" w:hanging="263"/>
        <w:jc w:val="left"/>
      </w:pPr>
      <w:r>
        <w:rPr>
          <w:color w:val="007F00"/>
        </w:rPr>
        <w:t>ACONDICIONAMENTO DOS RESÍDUOS – OBRIGAÇÕES</w:t>
      </w:r>
      <w:r>
        <w:rPr>
          <w:color w:val="007F00"/>
          <w:spacing w:val="18"/>
        </w:rPr>
        <w:t> </w:t>
      </w:r>
      <w:r>
        <w:rPr>
          <w:color w:val="007F00"/>
        </w:rPr>
        <w:t>LEGAIS</w:t>
      </w:r>
    </w:p>
    <w:p>
      <w:pPr>
        <w:pStyle w:val="BodyText"/>
        <w:spacing w:before="138"/>
        <w:ind w:left="163"/>
      </w:pPr>
      <w:r>
        <w:rPr/>
        <w:t>Os resíduos deste estabelecimento serão acondicionados e armazenados da seguinte forma,</w:t>
      </w:r>
    </w:p>
    <w:p>
      <w:pPr>
        <w:spacing w:after="0"/>
        <w:sectPr>
          <w:pgSz w:w="11900" w:h="16840"/>
          <w:pgMar w:top="1600" w:bottom="280" w:left="580" w:right="1080"/>
        </w:sectPr>
      </w:pPr>
    </w:p>
    <w:p>
      <w:pPr>
        <w:pStyle w:val="BodyText"/>
        <w:spacing w:before="3"/>
        <w:rPr>
          <w:sz w:val="10"/>
        </w:rPr>
      </w:pPr>
    </w:p>
    <w:p>
      <w:pPr>
        <w:pStyle w:val="BodyText"/>
        <w:spacing w:line="244" w:lineRule="auto" w:before="99"/>
        <w:ind w:left="163" w:right="215"/>
      </w:pPr>
      <w:r>
        <w:rPr/>
        <w:t>de acordo com as Resoluções RDC – ANVISA nº 033 / 2003 306/2004,  CONAMA  nº  283 / 2001 e Normas pertinentes da ABNT e do município sede do</w:t>
      </w:r>
      <w:r>
        <w:rPr>
          <w:spacing w:val="27"/>
        </w:rPr>
        <w:t> </w:t>
      </w:r>
      <w:r>
        <w:rPr/>
        <w:t>estabelecimento.</w:t>
      </w:r>
    </w:p>
    <w:p>
      <w:pPr>
        <w:pStyle w:val="BodyText"/>
        <w:spacing w:before="4"/>
      </w:pPr>
    </w:p>
    <w:p>
      <w:pPr>
        <w:pStyle w:val="BodyText"/>
        <w:spacing w:before="1"/>
        <w:ind w:left="164"/>
      </w:pPr>
      <w:r>
        <w:rPr>
          <w:w w:val="101"/>
        </w:rPr>
        <w:t>:</w:t>
      </w:r>
    </w:p>
    <w:p>
      <w:pPr>
        <w:pStyle w:val="Heading1"/>
        <w:spacing w:before="136"/>
      </w:pPr>
      <w:r>
        <w:rPr>
          <w:color w:val="007F00"/>
        </w:rPr>
        <w:t>GRUPO A: RESÍDUOS INFECTANTES</w:t>
      </w:r>
    </w:p>
    <w:p>
      <w:pPr>
        <w:pStyle w:val="BodyText"/>
        <w:spacing w:line="367" w:lineRule="auto" w:before="139"/>
        <w:ind w:left="163" w:right="176"/>
        <w:jc w:val="both"/>
      </w:pPr>
      <w:r>
        <w:rPr/>
        <w:t>São acondicionados em sacos plásticos, impermeáveis e resistentes, de </w:t>
      </w:r>
      <w:r>
        <w:rPr>
          <w:b/>
        </w:rPr>
        <w:t>cor branca leitosa</w:t>
      </w:r>
      <w:r>
        <w:rPr/>
        <w:t>, com simbologia de resíduo infectante.</w:t>
      </w:r>
    </w:p>
    <w:p>
      <w:pPr>
        <w:pStyle w:val="BodyText"/>
        <w:spacing w:line="367" w:lineRule="auto"/>
        <w:ind w:left="163" w:right="175"/>
        <w:jc w:val="both"/>
      </w:pPr>
      <w:r>
        <w:rPr/>
        <w:t>São armazenados em recipientes estanques, metálicos ou de plástico, com tampa, de fácil higienização e manuseio.</w:t>
      </w:r>
    </w:p>
    <w:p>
      <w:pPr>
        <w:pStyle w:val="BodyText"/>
        <w:spacing w:line="364" w:lineRule="auto"/>
        <w:ind w:left="163" w:right="173"/>
        <w:jc w:val="both"/>
      </w:pPr>
      <w:r>
        <w:rPr/>
        <w:t>Os resíduos perfurantes e cortantes do Grupo A são acondicionados e armazenados em recipientes rígidos, resistentes à punctura, rompimento e vazamento, com tampa, devidamente identificados com a simbologia de resíduo infectante e perfurocortante.</w:t>
      </w:r>
    </w:p>
    <w:p>
      <w:pPr>
        <w:pStyle w:val="BodyText"/>
        <w:spacing w:before="7"/>
        <w:rPr>
          <w:sz w:val="34"/>
        </w:rPr>
      </w:pPr>
    </w:p>
    <w:p>
      <w:pPr>
        <w:pStyle w:val="Heading1"/>
      </w:pPr>
      <w:r>
        <w:rPr>
          <w:color w:val="007F00"/>
        </w:rPr>
        <w:t>GRUPO B: RESÍDUOS QUÍMICOS</w:t>
      </w:r>
    </w:p>
    <w:p>
      <w:pPr>
        <w:pStyle w:val="BodyText"/>
        <w:spacing w:line="364" w:lineRule="auto" w:before="139"/>
        <w:ind w:left="163" w:right="174"/>
        <w:jc w:val="both"/>
      </w:pPr>
      <w:r>
        <w:rPr/>
        <w:t>São acondicionados em duplo saco plástico de </w:t>
      </w:r>
      <w:r>
        <w:rPr>
          <w:b/>
        </w:rPr>
        <w:t>cor branca leitosa</w:t>
      </w:r>
      <w:r>
        <w:rPr/>
        <w:t>, com </w:t>
      </w:r>
      <w:r>
        <w:rPr>
          <w:b/>
        </w:rPr>
        <w:t>identificação </w:t>
      </w:r>
      <w:r>
        <w:rPr/>
        <w:t>do </w:t>
      </w:r>
      <w:r>
        <w:rPr>
          <w:b/>
        </w:rPr>
        <w:t>resíduo e dos riscos</w:t>
      </w:r>
      <w:r>
        <w:rPr/>
        <w:t>; ou acondicionados em recipiente rígido e estanque, compatível com as características físico-químicas do resíduo ou produto a ser descartado, identificando de forma visível com o nome do conteúdo e suas principais características.</w:t>
      </w:r>
    </w:p>
    <w:p>
      <w:pPr>
        <w:pStyle w:val="BodyText"/>
        <w:spacing w:before="3"/>
        <w:rPr>
          <w:sz w:val="35"/>
        </w:rPr>
      </w:pPr>
    </w:p>
    <w:p>
      <w:pPr>
        <w:pStyle w:val="Heading1"/>
      </w:pPr>
      <w:r>
        <w:rPr>
          <w:color w:val="007F00"/>
        </w:rPr>
        <w:t>GRUPO C: RESÍDUOS RADIOATIVOS</w:t>
      </w:r>
    </w:p>
    <w:p>
      <w:pPr>
        <w:spacing w:line="364" w:lineRule="auto" w:before="141"/>
        <w:ind w:left="163" w:right="178" w:firstLine="0"/>
        <w:jc w:val="both"/>
        <w:rPr>
          <w:b/>
          <w:sz w:val="23"/>
        </w:rPr>
      </w:pPr>
      <w:r>
        <w:rPr>
          <w:sz w:val="23"/>
        </w:rPr>
        <w:t>São acondicionados de acordo com as normas da </w:t>
      </w:r>
      <w:r>
        <w:rPr>
          <w:b/>
          <w:sz w:val="23"/>
        </w:rPr>
        <w:t>Comissão Nacional de Energia Nuclear – CNEN.</w:t>
      </w:r>
    </w:p>
    <w:p>
      <w:pPr>
        <w:pStyle w:val="BodyText"/>
        <w:spacing w:before="1"/>
        <w:rPr>
          <w:b/>
          <w:sz w:val="35"/>
        </w:rPr>
      </w:pPr>
    </w:p>
    <w:p>
      <w:pPr>
        <w:pStyle w:val="Heading1"/>
      </w:pPr>
      <w:r>
        <w:rPr>
          <w:color w:val="007F00"/>
        </w:rPr>
        <w:t>GRUPO D: RESÍDUOS COMUNS</w:t>
      </w:r>
    </w:p>
    <w:p>
      <w:pPr>
        <w:pStyle w:val="BodyText"/>
        <w:spacing w:line="364" w:lineRule="auto" w:before="141"/>
        <w:ind w:left="163" w:right="175"/>
        <w:jc w:val="both"/>
      </w:pPr>
      <w:r>
        <w:rPr/>
        <w:t>São acondicionados em sacos pretos resistentes de modo a evitar derramamento durante o manuseio. Os resíduos comuns recicláveis (papel, papelão, plástico e vidro) podem ser separados e destinados à reciclagem.</w:t>
      </w:r>
    </w:p>
    <w:p>
      <w:pPr>
        <w:pStyle w:val="BodyText"/>
        <w:spacing w:before="2"/>
        <w:rPr>
          <w:sz w:val="35"/>
        </w:rPr>
      </w:pPr>
    </w:p>
    <w:p>
      <w:pPr>
        <w:pStyle w:val="Heading1"/>
        <w:numPr>
          <w:ilvl w:val="0"/>
          <w:numId w:val="1"/>
        </w:numPr>
        <w:tabs>
          <w:tab w:pos="424" w:val="left" w:leader="none"/>
        </w:tabs>
        <w:spacing w:line="240" w:lineRule="auto" w:before="0" w:after="0"/>
        <w:ind w:left="423" w:right="0" w:hanging="261"/>
        <w:jc w:val="left"/>
      </w:pPr>
      <w:r>
        <w:rPr>
          <w:color w:val="007F00"/>
        </w:rPr>
        <w:t>COLETA INTERNA DOS RESÍDUOS – OBRIGAÇÕES</w:t>
      </w:r>
      <w:r>
        <w:rPr>
          <w:color w:val="007F00"/>
          <w:spacing w:val="12"/>
        </w:rPr>
        <w:t> </w:t>
      </w:r>
      <w:r>
        <w:rPr>
          <w:color w:val="007F00"/>
        </w:rPr>
        <w:t>LEGAIS</w:t>
      </w:r>
    </w:p>
    <w:p>
      <w:pPr>
        <w:spacing w:line="364" w:lineRule="auto" w:before="139"/>
        <w:ind w:left="163" w:right="176" w:firstLine="0"/>
        <w:jc w:val="both"/>
        <w:rPr>
          <w:sz w:val="23"/>
        </w:rPr>
      </w:pPr>
      <w:r>
        <w:rPr>
          <w:sz w:val="23"/>
        </w:rPr>
        <w:t>Os resíduos deverão seguir os seguintes procedimentos ao serem transportados dentro do estabelecimento, de acordo com as </w:t>
      </w:r>
      <w:r>
        <w:rPr>
          <w:b/>
          <w:sz w:val="23"/>
        </w:rPr>
        <w:t>Resoluções 306/2004, CONAMA nº 358/2005</w:t>
      </w:r>
      <w:r>
        <w:rPr>
          <w:sz w:val="23"/>
        </w:rPr>
        <w:t>, </w:t>
      </w:r>
      <w:r>
        <w:rPr>
          <w:b/>
          <w:sz w:val="23"/>
        </w:rPr>
        <w:t>Normas </w:t>
      </w:r>
      <w:r>
        <w:rPr>
          <w:sz w:val="23"/>
        </w:rPr>
        <w:t>pertinentes da </w:t>
      </w:r>
      <w:r>
        <w:rPr>
          <w:b/>
          <w:sz w:val="23"/>
        </w:rPr>
        <w:t>ABNT </w:t>
      </w:r>
      <w:r>
        <w:rPr>
          <w:sz w:val="23"/>
        </w:rPr>
        <w:t>e do </w:t>
      </w:r>
      <w:r>
        <w:rPr>
          <w:b/>
          <w:sz w:val="23"/>
        </w:rPr>
        <w:t>município sede do estabelecimento</w:t>
      </w:r>
      <w:r>
        <w:rPr>
          <w:sz w:val="23"/>
        </w:rPr>
        <w:t>.</w:t>
      </w:r>
    </w:p>
    <w:p>
      <w:pPr>
        <w:pStyle w:val="ListParagraph"/>
        <w:numPr>
          <w:ilvl w:val="1"/>
          <w:numId w:val="1"/>
        </w:numPr>
        <w:tabs>
          <w:tab w:pos="1041" w:val="left" w:leader="none"/>
        </w:tabs>
        <w:spacing w:line="364" w:lineRule="auto" w:before="3" w:after="0"/>
        <w:ind w:left="1040" w:right="173" w:hanging="351"/>
        <w:jc w:val="both"/>
        <w:rPr>
          <w:sz w:val="23"/>
        </w:rPr>
      </w:pPr>
      <w:r>
        <w:rPr>
          <w:sz w:val="23"/>
        </w:rPr>
        <w:t>O transporte dos recipientes deve se realizado sem esforço excessivo ou risco de acidente para o</w:t>
      </w:r>
      <w:r>
        <w:rPr>
          <w:spacing w:val="1"/>
          <w:sz w:val="23"/>
        </w:rPr>
        <w:t> </w:t>
      </w:r>
      <w:r>
        <w:rPr>
          <w:sz w:val="23"/>
        </w:rPr>
        <w:t>funcionário.</w:t>
      </w:r>
    </w:p>
    <w:p>
      <w:pPr>
        <w:spacing w:after="0" w:line="364" w:lineRule="auto"/>
        <w:jc w:val="both"/>
        <w:rPr>
          <w:sz w:val="23"/>
        </w:rPr>
        <w:sectPr>
          <w:pgSz w:w="11900" w:h="16840"/>
          <w:pgMar w:top="1600" w:bottom="280" w:left="58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1"/>
          <w:numId w:val="1"/>
        </w:numPr>
        <w:tabs>
          <w:tab w:pos="1040" w:val="left" w:leader="none"/>
        </w:tabs>
        <w:spacing w:line="367" w:lineRule="auto" w:before="103" w:after="0"/>
        <w:ind w:left="1039" w:right="176" w:hanging="351"/>
        <w:jc w:val="both"/>
        <w:rPr>
          <w:sz w:val="23"/>
        </w:rPr>
      </w:pPr>
      <w:r>
        <w:rPr>
          <w:spacing w:val="-3"/>
          <w:sz w:val="23"/>
        </w:rPr>
        <w:t>Os </w:t>
      </w:r>
      <w:r>
        <w:rPr>
          <w:sz w:val="23"/>
        </w:rPr>
        <w:t>procedimentos têm que ser realizados de forma </w:t>
      </w:r>
      <w:r>
        <w:rPr>
          <w:b/>
          <w:sz w:val="23"/>
        </w:rPr>
        <w:t>a não permitir o rompimento dos recipientes</w:t>
      </w:r>
      <w:r>
        <w:rPr>
          <w:sz w:val="23"/>
        </w:rPr>
        <w:t>. No caso de acidente ou derramamento, deve-se imediatamente realizar a limpeza e desinfecção simultânea do local, e notificar a chefia da</w:t>
      </w:r>
      <w:r>
        <w:rPr>
          <w:spacing w:val="24"/>
          <w:sz w:val="23"/>
        </w:rPr>
        <w:t> </w:t>
      </w:r>
      <w:r>
        <w:rPr>
          <w:sz w:val="23"/>
        </w:rPr>
        <w:t>unidade.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numPr>
          <w:ilvl w:val="0"/>
          <w:numId w:val="1"/>
        </w:numPr>
        <w:tabs>
          <w:tab w:pos="952" w:val="left" w:leader="none"/>
        </w:tabs>
        <w:spacing w:line="240" w:lineRule="auto" w:before="202" w:after="0"/>
        <w:ind w:left="951" w:right="0" w:hanging="263"/>
        <w:jc w:val="left"/>
      </w:pPr>
      <w:r>
        <w:rPr>
          <w:color w:val="007F00"/>
        </w:rPr>
        <w:t>ABRIGO DOS RESÍDUOS – OBRIGAÇÕES</w:t>
      </w:r>
      <w:r>
        <w:rPr>
          <w:color w:val="007F00"/>
          <w:spacing w:val="13"/>
        </w:rPr>
        <w:t> </w:t>
      </w:r>
      <w:r>
        <w:rPr>
          <w:color w:val="007F00"/>
        </w:rPr>
        <w:t>LEGAIS</w:t>
      </w:r>
    </w:p>
    <w:p>
      <w:pPr>
        <w:spacing w:line="364" w:lineRule="auto" w:before="143"/>
        <w:ind w:left="689" w:right="172" w:firstLine="0"/>
        <w:jc w:val="both"/>
        <w:rPr>
          <w:sz w:val="23"/>
        </w:rPr>
      </w:pPr>
      <w:r>
        <w:rPr>
          <w:spacing w:val="-3"/>
          <w:sz w:val="23"/>
        </w:rPr>
        <w:t>Os </w:t>
      </w:r>
      <w:r>
        <w:rPr>
          <w:sz w:val="23"/>
        </w:rPr>
        <w:t>resíduos deverão seguir os seguintes procedimentos  ao serem transportados  dentro do estabelecimento, de acordo com as </w:t>
      </w:r>
      <w:r>
        <w:rPr>
          <w:b/>
          <w:sz w:val="23"/>
        </w:rPr>
        <w:t>Resoluções 306/2004, CONAMA nº283/01 e nº 358/ 2005</w:t>
      </w:r>
      <w:r>
        <w:rPr>
          <w:sz w:val="23"/>
        </w:rPr>
        <w:t>, </w:t>
      </w:r>
      <w:r>
        <w:rPr>
          <w:b/>
          <w:sz w:val="23"/>
        </w:rPr>
        <w:t>Normas </w:t>
      </w:r>
      <w:r>
        <w:rPr>
          <w:sz w:val="23"/>
        </w:rPr>
        <w:t>pertinentes da </w:t>
      </w:r>
      <w:r>
        <w:rPr>
          <w:b/>
          <w:sz w:val="23"/>
        </w:rPr>
        <w:t>ABNT </w:t>
      </w:r>
      <w:r>
        <w:rPr>
          <w:sz w:val="23"/>
        </w:rPr>
        <w:t>e do </w:t>
      </w:r>
      <w:r>
        <w:rPr>
          <w:b/>
          <w:sz w:val="23"/>
        </w:rPr>
        <w:t>município sede do</w:t>
      </w:r>
      <w:r>
        <w:rPr>
          <w:b/>
          <w:spacing w:val="63"/>
          <w:sz w:val="23"/>
        </w:rPr>
        <w:t> </w:t>
      </w:r>
      <w:r>
        <w:rPr>
          <w:b/>
          <w:sz w:val="23"/>
        </w:rPr>
        <w:t>estabelecimento</w:t>
      </w:r>
      <w:r>
        <w:rPr>
          <w:sz w:val="23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ListParagraph"/>
        <w:numPr>
          <w:ilvl w:val="1"/>
          <w:numId w:val="1"/>
        </w:numPr>
        <w:tabs>
          <w:tab w:pos="1391" w:val="left" w:leader="none"/>
        </w:tabs>
        <w:spacing w:line="367" w:lineRule="auto" w:before="207" w:after="0"/>
        <w:ind w:left="1390" w:right="173" w:hanging="351"/>
        <w:jc w:val="both"/>
        <w:rPr>
          <w:sz w:val="23"/>
        </w:rPr>
      </w:pPr>
      <w:r>
        <w:rPr>
          <w:sz w:val="23"/>
        </w:rPr>
        <w:t>O </w:t>
      </w:r>
      <w:r>
        <w:rPr>
          <w:b/>
          <w:sz w:val="23"/>
        </w:rPr>
        <w:t>abrigo de resíduos </w:t>
      </w:r>
      <w:r>
        <w:rPr>
          <w:sz w:val="23"/>
        </w:rPr>
        <w:t>deve ser constituído de um local fechado, ser exclusivo para guarda temporária de resíduos de serviços de saúde, devidamente acondicionados em</w:t>
      </w:r>
      <w:r>
        <w:rPr>
          <w:spacing w:val="3"/>
          <w:sz w:val="23"/>
        </w:rPr>
        <w:t> </w:t>
      </w:r>
      <w:r>
        <w:rPr>
          <w:sz w:val="23"/>
        </w:rPr>
        <w:t>recipientes.</w:t>
      </w:r>
    </w:p>
    <w:p>
      <w:pPr>
        <w:pStyle w:val="BodyText"/>
        <w:spacing w:before="6"/>
        <w:rPr>
          <w:sz w:val="34"/>
        </w:rPr>
      </w:pPr>
    </w:p>
    <w:p>
      <w:pPr>
        <w:pStyle w:val="ListParagraph"/>
        <w:numPr>
          <w:ilvl w:val="1"/>
          <w:numId w:val="1"/>
        </w:numPr>
        <w:tabs>
          <w:tab w:pos="1391" w:val="left" w:leader="none"/>
        </w:tabs>
        <w:spacing w:line="369" w:lineRule="auto" w:before="0" w:after="0"/>
        <w:ind w:left="1390" w:right="173" w:hanging="351"/>
        <w:jc w:val="both"/>
        <w:rPr>
          <w:sz w:val="23"/>
        </w:rPr>
      </w:pPr>
      <w:r>
        <w:rPr>
          <w:sz w:val="23"/>
        </w:rPr>
        <w:t>As </w:t>
      </w:r>
      <w:r>
        <w:rPr>
          <w:b/>
          <w:sz w:val="23"/>
        </w:rPr>
        <w:t>dimensões do abrigo </w:t>
      </w:r>
      <w:r>
        <w:rPr>
          <w:sz w:val="23"/>
        </w:rPr>
        <w:t>devem ser suficientes para armazenar a produção de resíduos de até três dias, sem empilhamento dos recipientes acima de 1,20</w:t>
      </w:r>
      <w:r>
        <w:rPr>
          <w:spacing w:val="56"/>
          <w:sz w:val="23"/>
        </w:rPr>
        <w:t> </w:t>
      </w:r>
      <w:r>
        <w:rPr>
          <w:sz w:val="23"/>
        </w:rPr>
        <w:t>m.</w:t>
      </w:r>
    </w:p>
    <w:p>
      <w:pPr>
        <w:pStyle w:val="BodyText"/>
        <w:spacing w:before="6"/>
        <w:rPr>
          <w:sz w:val="34"/>
        </w:rPr>
      </w:pPr>
    </w:p>
    <w:p>
      <w:pPr>
        <w:pStyle w:val="ListParagraph"/>
        <w:numPr>
          <w:ilvl w:val="1"/>
          <w:numId w:val="1"/>
        </w:numPr>
        <w:tabs>
          <w:tab w:pos="1391" w:val="left" w:leader="none"/>
        </w:tabs>
        <w:spacing w:line="364" w:lineRule="auto" w:before="0" w:after="0"/>
        <w:ind w:left="1390" w:right="173" w:hanging="351"/>
        <w:jc w:val="both"/>
        <w:rPr>
          <w:sz w:val="23"/>
        </w:rPr>
      </w:pPr>
      <w:r>
        <w:rPr>
          <w:sz w:val="23"/>
        </w:rPr>
        <w:t>O </w:t>
      </w:r>
      <w:r>
        <w:rPr>
          <w:b/>
          <w:sz w:val="23"/>
        </w:rPr>
        <w:t>piso, paredes, porta e teto </w:t>
      </w:r>
      <w:r>
        <w:rPr>
          <w:sz w:val="23"/>
        </w:rPr>
        <w:t>devem ser de material liso, impermeável, lavável e  de cor</w:t>
      </w:r>
      <w:r>
        <w:rPr>
          <w:spacing w:val="-1"/>
          <w:sz w:val="23"/>
        </w:rPr>
        <w:t> </w:t>
      </w:r>
      <w:r>
        <w:rPr>
          <w:sz w:val="23"/>
        </w:rPr>
        <w:t>branca.</w:t>
      </w:r>
    </w:p>
    <w:p>
      <w:pPr>
        <w:pStyle w:val="BodyText"/>
        <w:spacing w:before="1"/>
        <w:rPr>
          <w:sz w:val="35"/>
        </w:rPr>
      </w:pPr>
    </w:p>
    <w:p>
      <w:pPr>
        <w:pStyle w:val="ListParagraph"/>
        <w:numPr>
          <w:ilvl w:val="1"/>
          <w:numId w:val="1"/>
        </w:numPr>
        <w:tabs>
          <w:tab w:pos="1391" w:val="left" w:leader="none"/>
        </w:tabs>
        <w:spacing w:line="240" w:lineRule="auto" w:before="0" w:after="0"/>
        <w:ind w:left="1390" w:right="0" w:hanging="352"/>
        <w:jc w:val="left"/>
        <w:rPr>
          <w:sz w:val="23"/>
        </w:rPr>
      </w:pPr>
      <w:r>
        <w:rPr>
          <w:b/>
          <w:sz w:val="23"/>
        </w:rPr>
        <w:t>A porta </w:t>
      </w:r>
      <w:r>
        <w:rPr>
          <w:sz w:val="23"/>
        </w:rPr>
        <w:t>deve ostentar o símbolo de substância</w:t>
      </w:r>
      <w:r>
        <w:rPr>
          <w:spacing w:val="6"/>
          <w:sz w:val="23"/>
        </w:rPr>
        <w:t> </w:t>
      </w:r>
      <w:r>
        <w:rPr>
          <w:sz w:val="23"/>
        </w:rPr>
        <w:t>infectante.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ListParagraph"/>
        <w:numPr>
          <w:ilvl w:val="1"/>
          <w:numId w:val="1"/>
        </w:numPr>
        <w:tabs>
          <w:tab w:pos="1391" w:val="left" w:leader="none"/>
        </w:tabs>
        <w:spacing w:line="367" w:lineRule="auto" w:before="1" w:after="0"/>
        <w:ind w:left="1390" w:right="173" w:hanging="351"/>
        <w:jc w:val="both"/>
        <w:rPr>
          <w:sz w:val="23"/>
        </w:rPr>
      </w:pPr>
      <w:r>
        <w:rPr>
          <w:sz w:val="23"/>
        </w:rPr>
        <w:t>O abrigo de resíduo </w:t>
      </w:r>
      <w:r>
        <w:rPr>
          <w:b/>
          <w:sz w:val="23"/>
        </w:rPr>
        <w:t>deve ser higienizado após a coleta externa </w:t>
      </w:r>
      <w:r>
        <w:rPr>
          <w:sz w:val="23"/>
        </w:rPr>
        <w:t>ou sempre que ocorrer</w:t>
      </w:r>
      <w:r>
        <w:rPr>
          <w:spacing w:val="-1"/>
          <w:sz w:val="23"/>
        </w:rPr>
        <w:t> </w:t>
      </w:r>
      <w:r>
        <w:rPr>
          <w:sz w:val="23"/>
        </w:rPr>
        <w:t>derramamento.</w:t>
      </w:r>
    </w:p>
    <w:p>
      <w:pPr>
        <w:spacing w:after="0" w:line="367" w:lineRule="auto"/>
        <w:jc w:val="both"/>
        <w:rPr>
          <w:sz w:val="23"/>
        </w:rPr>
        <w:sectPr>
          <w:pgSz w:w="11900" w:h="16840"/>
          <w:pgMar w:top="1600" w:bottom="280" w:left="580" w:right="1080"/>
        </w:sectPr>
      </w:pPr>
    </w:p>
    <w:p>
      <w:pPr>
        <w:pStyle w:val="BodyText"/>
        <w:spacing w:before="10"/>
        <w:rPr>
          <w:sz w:val="9"/>
        </w:rPr>
      </w:pPr>
    </w:p>
    <w:p>
      <w:pPr>
        <w:pStyle w:val="Heading1"/>
        <w:numPr>
          <w:ilvl w:val="0"/>
          <w:numId w:val="1"/>
        </w:numPr>
        <w:tabs>
          <w:tab w:pos="952" w:val="left" w:leader="none"/>
        </w:tabs>
        <w:spacing w:line="240" w:lineRule="auto" w:before="103" w:after="0"/>
        <w:ind w:left="951" w:right="0" w:hanging="263"/>
        <w:jc w:val="both"/>
      </w:pPr>
      <w:r>
        <w:rPr>
          <w:color w:val="007F00"/>
        </w:rPr>
        <w:t>TRATAMENTO E DESTINO FINAL DOS RESÍDUOS – OBRIGAÇÕES</w:t>
      </w:r>
      <w:r>
        <w:rPr>
          <w:color w:val="007F00"/>
          <w:spacing w:val="40"/>
        </w:rPr>
        <w:t> </w:t>
      </w:r>
      <w:r>
        <w:rPr>
          <w:color w:val="007F00"/>
        </w:rPr>
        <w:t>LEGAIS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spacing w:line="364" w:lineRule="auto" w:before="0"/>
        <w:ind w:left="689" w:right="373" w:firstLine="0"/>
        <w:jc w:val="left"/>
        <w:rPr>
          <w:sz w:val="23"/>
        </w:rPr>
      </w:pPr>
      <w:r>
        <w:rPr>
          <w:spacing w:val="-3"/>
          <w:sz w:val="23"/>
        </w:rPr>
        <w:t>Os </w:t>
      </w:r>
      <w:r>
        <w:rPr>
          <w:sz w:val="23"/>
        </w:rPr>
        <w:t>resíduos deverão ser tratados e destinados da seguinte forma, de acordo com </w:t>
      </w:r>
      <w:r>
        <w:rPr>
          <w:b/>
          <w:sz w:val="23"/>
        </w:rPr>
        <w:t>Resoluções 306/2004, CONAMA nº283/01 e nº 358 / 2005</w:t>
      </w:r>
      <w:r>
        <w:rPr>
          <w:sz w:val="23"/>
        </w:rPr>
        <w:t>, </w:t>
      </w:r>
      <w:r>
        <w:rPr>
          <w:b/>
          <w:sz w:val="23"/>
        </w:rPr>
        <w:t>Normas </w:t>
      </w:r>
      <w:r>
        <w:rPr>
          <w:sz w:val="23"/>
        </w:rPr>
        <w:t>pertinentes da   </w:t>
      </w:r>
      <w:r>
        <w:rPr>
          <w:b/>
          <w:sz w:val="23"/>
        </w:rPr>
        <w:t>ABNT </w:t>
      </w:r>
      <w:r>
        <w:rPr>
          <w:sz w:val="23"/>
        </w:rPr>
        <w:t>e do </w:t>
      </w:r>
      <w:r>
        <w:rPr>
          <w:b/>
          <w:sz w:val="23"/>
        </w:rPr>
        <w:t>município sede do</w:t>
      </w:r>
      <w:r>
        <w:rPr>
          <w:b/>
          <w:spacing w:val="3"/>
          <w:sz w:val="23"/>
        </w:rPr>
        <w:t> </w:t>
      </w:r>
      <w:r>
        <w:rPr>
          <w:b/>
          <w:sz w:val="23"/>
        </w:rPr>
        <w:t>estabelecimento</w:t>
      </w:r>
      <w:r>
        <w:rPr>
          <w:sz w:val="23"/>
        </w:rPr>
        <w:t>.</w:t>
      </w:r>
    </w:p>
    <w:p>
      <w:pPr>
        <w:pStyle w:val="BodyText"/>
        <w:spacing w:before="11"/>
        <w:rPr>
          <w:sz w:val="34"/>
        </w:rPr>
      </w:pPr>
    </w:p>
    <w:p>
      <w:pPr>
        <w:pStyle w:val="Heading1"/>
        <w:ind w:left="689"/>
      </w:pPr>
      <w:r>
        <w:rPr>
          <w:color w:val="007F00"/>
        </w:rPr>
        <w:t>GRUPO A: RESÍDUOS INFECTANTES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ListParagraph"/>
        <w:numPr>
          <w:ilvl w:val="0"/>
          <w:numId w:val="2"/>
        </w:numPr>
        <w:tabs>
          <w:tab w:pos="1040" w:val="left" w:leader="none"/>
        </w:tabs>
        <w:spacing w:line="364" w:lineRule="auto" w:before="0" w:after="0"/>
        <w:ind w:left="689" w:right="173" w:firstLine="0"/>
        <w:jc w:val="both"/>
        <w:rPr>
          <w:b/>
          <w:sz w:val="23"/>
        </w:rPr>
      </w:pPr>
      <w:r>
        <w:rPr>
          <w:spacing w:val="-3"/>
          <w:sz w:val="23"/>
        </w:rPr>
        <w:t>Os </w:t>
      </w:r>
      <w:r>
        <w:rPr>
          <w:sz w:val="23"/>
        </w:rPr>
        <w:t>resíduos infectantes procedentes de análises clínicas, hemoterapia, pesquisa microbiológica e descartes de vacina têm que ser submetidos a descontaminação dentro da unidade geradora. </w:t>
      </w:r>
      <w:r>
        <w:rPr>
          <w:b/>
          <w:sz w:val="23"/>
        </w:rPr>
        <w:t>Após a descontaminação, podem ser descartados como resíduos sólidos comuns.</w:t>
      </w:r>
    </w:p>
    <w:p>
      <w:pPr>
        <w:pStyle w:val="BodyText"/>
        <w:spacing w:before="3"/>
        <w:rPr>
          <w:b/>
          <w:sz w:val="35"/>
        </w:rPr>
      </w:pPr>
    </w:p>
    <w:p>
      <w:pPr>
        <w:pStyle w:val="ListParagraph"/>
        <w:numPr>
          <w:ilvl w:val="0"/>
          <w:numId w:val="2"/>
        </w:numPr>
        <w:tabs>
          <w:tab w:pos="1028" w:val="left" w:leader="none"/>
        </w:tabs>
        <w:spacing w:line="364" w:lineRule="auto" w:before="0" w:after="0"/>
        <w:ind w:left="689" w:right="171" w:firstLine="0"/>
        <w:jc w:val="both"/>
        <w:rPr>
          <w:sz w:val="23"/>
        </w:rPr>
      </w:pPr>
      <w:r>
        <w:rPr>
          <w:sz w:val="23"/>
        </w:rPr>
        <w:t>Os </w:t>
      </w:r>
      <w:r>
        <w:rPr>
          <w:b/>
          <w:sz w:val="23"/>
        </w:rPr>
        <w:t>resíduos líquidos infectantes</w:t>
      </w:r>
      <w:r>
        <w:rPr>
          <w:sz w:val="23"/>
        </w:rPr>
        <w:t>, como sangue, secreções, excreções e outros líquidos orgânicos, </w:t>
      </w:r>
      <w:r>
        <w:rPr>
          <w:b/>
          <w:sz w:val="23"/>
        </w:rPr>
        <w:t>têm que ser submetidos a tratamento na própria instituição</w:t>
      </w:r>
      <w:r>
        <w:rPr>
          <w:sz w:val="23"/>
        </w:rPr>
        <w:t>, </w:t>
      </w:r>
      <w:r>
        <w:rPr>
          <w:b/>
          <w:sz w:val="23"/>
        </w:rPr>
        <w:t>anterior ao lançamento na rede pública de esgoto </w:t>
      </w:r>
      <w:r>
        <w:rPr>
          <w:sz w:val="23"/>
        </w:rPr>
        <w:t>conforme exigências do órgão competente de controle ambiental. O projeto do sistema de tratamento de efluentes deve ser anexado a este plano de gerenciamento, conforme diretrizes de apresentação  do órgão ambiental.</w:t>
      </w:r>
    </w:p>
    <w:p>
      <w:pPr>
        <w:pStyle w:val="BodyText"/>
        <w:spacing w:before="8"/>
        <w:rPr>
          <w:sz w:val="35"/>
        </w:rPr>
      </w:pPr>
    </w:p>
    <w:p>
      <w:pPr>
        <w:pStyle w:val="ListParagraph"/>
        <w:numPr>
          <w:ilvl w:val="0"/>
          <w:numId w:val="2"/>
        </w:numPr>
        <w:tabs>
          <w:tab w:pos="988" w:val="left" w:leader="none"/>
        </w:tabs>
        <w:spacing w:line="364" w:lineRule="auto" w:before="0" w:after="0"/>
        <w:ind w:left="689" w:right="173" w:firstLine="0"/>
        <w:jc w:val="both"/>
        <w:rPr>
          <w:sz w:val="23"/>
        </w:rPr>
      </w:pPr>
      <w:r>
        <w:rPr>
          <w:sz w:val="23"/>
        </w:rPr>
        <w:t>Os demais resíduos infectantes podem ter outra destinação, desde que devidamente licenciada pelo órgão ambiental</w:t>
      </w:r>
      <w:r>
        <w:rPr>
          <w:spacing w:val="6"/>
          <w:sz w:val="23"/>
        </w:rPr>
        <w:t> </w:t>
      </w:r>
      <w:r>
        <w:rPr>
          <w:sz w:val="23"/>
        </w:rPr>
        <w:t>competente.</w:t>
      </w:r>
    </w:p>
    <w:p>
      <w:pPr>
        <w:pStyle w:val="BodyText"/>
        <w:spacing w:before="1"/>
        <w:rPr>
          <w:sz w:val="35"/>
        </w:rPr>
      </w:pPr>
    </w:p>
    <w:p>
      <w:pPr>
        <w:pStyle w:val="Heading1"/>
        <w:ind w:left="689"/>
      </w:pPr>
      <w:r>
        <w:rPr>
          <w:color w:val="007F00"/>
        </w:rPr>
        <w:t>GRUPO B: RESÍDUOS QUÍMICOS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3"/>
        <w:rPr>
          <w:b/>
          <w:sz w:val="21"/>
        </w:rPr>
      </w:pPr>
    </w:p>
    <w:p>
      <w:pPr>
        <w:pStyle w:val="ListParagraph"/>
        <w:numPr>
          <w:ilvl w:val="0"/>
          <w:numId w:val="3"/>
        </w:numPr>
        <w:tabs>
          <w:tab w:pos="1050" w:val="left" w:leader="none"/>
        </w:tabs>
        <w:spacing w:line="364" w:lineRule="auto" w:before="1" w:after="0"/>
        <w:ind w:left="689" w:right="173" w:firstLine="0"/>
        <w:jc w:val="both"/>
        <w:rPr>
          <w:sz w:val="23"/>
        </w:rPr>
      </w:pPr>
      <w:r>
        <w:rPr>
          <w:sz w:val="23"/>
        </w:rPr>
        <w:t>Os medicamentos quimioterápicos, imunoterápicos, antimicrobianos, hormônios e demais medicamentos utilizados, vencidos, alterados, interditados ou impróprios para consumo devem ser devolvidos ao fabricante ou importador, por meio do</w:t>
      </w:r>
      <w:r>
        <w:rPr>
          <w:spacing w:val="54"/>
          <w:sz w:val="23"/>
        </w:rPr>
        <w:t> </w:t>
      </w:r>
      <w:r>
        <w:rPr>
          <w:sz w:val="23"/>
        </w:rPr>
        <w:t>distribuidor.</w:t>
      </w:r>
    </w:p>
    <w:p>
      <w:pPr>
        <w:pStyle w:val="BodyText"/>
        <w:spacing w:before="1"/>
        <w:rPr>
          <w:sz w:val="35"/>
        </w:rPr>
      </w:pPr>
    </w:p>
    <w:p>
      <w:pPr>
        <w:pStyle w:val="ListParagraph"/>
        <w:numPr>
          <w:ilvl w:val="0"/>
          <w:numId w:val="3"/>
        </w:numPr>
        <w:tabs>
          <w:tab w:pos="995" w:val="left" w:leader="none"/>
        </w:tabs>
        <w:spacing w:line="364" w:lineRule="auto" w:before="1" w:after="0"/>
        <w:ind w:left="689" w:right="174" w:firstLine="0"/>
        <w:jc w:val="both"/>
        <w:rPr>
          <w:sz w:val="23"/>
        </w:rPr>
      </w:pPr>
      <w:r>
        <w:rPr>
          <w:sz w:val="23"/>
        </w:rPr>
        <w:t>Os demais </w:t>
      </w:r>
      <w:r>
        <w:rPr>
          <w:b/>
          <w:sz w:val="23"/>
        </w:rPr>
        <w:t>resíduos do grupo B considerados perigosos</w:t>
      </w:r>
      <w:r>
        <w:rPr>
          <w:sz w:val="23"/>
        </w:rPr>
        <w:t>, de acordo com a NBR 10.004, devem se encaminhados para </w:t>
      </w:r>
      <w:r>
        <w:rPr>
          <w:b/>
          <w:sz w:val="23"/>
        </w:rPr>
        <w:t>Aterro Sanitário especial para Resíduos Perigosos – Classe I</w:t>
      </w:r>
      <w:r>
        <w:rPr>
          <w:sz w:val="23"/>
        </w:rPr>
        <w:t>, ou serem submetidos a tratamento de acordo com as orientações do órgão local de meio ambiente, em instalações devidamente</w:t>
      </w:r>
      <w:r>
        <w:rPr>
          <w:spacing w:val="32"/>
          <w:sz w:val="23"/>
        </w:rPr>
        <w:t> </w:t>
      </w:r>
      <w:r>
        <w:rPr>
          <w:sz w:val="23"/>
        </w:rPr>
        <w:t>licenciados.</w:t>
      </w:r>
    </w:p>
    <w:p>
      <w:pPr>
        <w:spacing w:after="0" w:line="364" w:lineRule="auto"/>
        <w:jc w:val="both"/>
        <w:rPr>
          <w:sz w:val="23"/>
        </w:rPr>
        <w:sectPr>
          <w:pgSz w:w="11900" w:h="16840"/>
          <w:pgMar w:top="1600" w:bottom="280" w:left="58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4"/>
        </w:rPr>
      </w:pPr>
    </w:p>
    <w:p>
      <w:pPr>
        <w:pStyle w:val="Heading1"/>
        <w:spacing w:before="103"/>
      </w:pPr>
      <w:r>
        <w:rPr>
          <w:color w:val="007F00"/>
        </w:rPr>
        <w:t>GRUPO C: RESÍDUOS RADIOATIVOS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1"/>
        </w:rPr>
      </w:pPr>
    </w:p>
    <w:p>
      <w:pPr>
        <w:spacing w:line="364" w:lineRule="auto" w:before="0"/>
        <w:ind w:left="163" w:right="215" w:firstLine="0"/>
        <w:jc w:val="left"/>
        <w:rPr>
          <w:b/>
          <w:sz w:val="23"/>
        </w:rPr>
      </w:pPr>
      <w:r>
        <w:rPr>
          <w:sz w:val="23"/>
        </w:rPr>
        <w:t>São destinados de acordo com as normas da </w:t>
      </w:r>
      <w:r>
        <w:rPr>
          <w:b/>
          <w:sz w:val="23"/>
        </w:rPr>
        <w:t>Comissão Nacional de Energia Nuclear – CNEN.</w:t>
      </w:r>
    </w:p>
    <w:p>
      <w:pPr>
        <w:pStyle w:val="BodyText"/>
        <w:spacing w:before="1"/>
        <w:rPr>
          <w:b/>
          <w:sz w:val="35"/>
        </w:rPr>
      </w:pPr>
    </w:p>
    <w:p>
      <w:pPr>
        <w:pStyle w:val="Heading1"/>
      </w:pPr>
      <w:r>
        <w:rPr>
          <w:color w:val="007F00"/>
        </w:rPr>
        <w:t>GRUPO D: RESÍDUOS COMUNS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spacing w:line="367" w:lineRule="auto"/>
        <w:ind w:left="163" w:right="176"/>
        <w:jc w:val="both"/>
      </w:pPr>
      <w:r>
        <w:rPr/>
        <w:t>Os resíduos comuns não recicláveis devem se dispostos em Aterros Sanitários devidamente licenciados pelo órgão ambiental.</w:t>
      </w:r>
    </w:p>
    <w:p>
      <w:pPr>
        <w:pStyle w:val="BodyText"/>
        <w:spacing w:line="364" w:lineRule="auto"/>
        <w:ind w:left="163" w:right="176"/>
        <w:jc w:val="both"/>
      </w:pPr>
      <w:r>
        <w:rPr/>
        <w:t>Os resíduos recicláveis devem ser encaminhados para usinas de triagem e reciclagem, devidamente licenciadas pelo órgão ambiental.</w:t>
      </w:r>
    </w:p>
    <w:p>
      <w:pPr>
        <w:pStyle w:val="BodyText"/>
        <w:spacing w:before="9"/>
        <w:rPr>
          <w:sz w:val="34"/>
        </w:rPr>
      </w:pPr>
    </w:p>
    <w:p>
      <w:pPr>
        <w:pStyle w:val="Heading1"/>
        <w:numPr>
          <w:ilvl w:val="0"/>
          <w:numId w:val="1"/>
        </w:numPr>
        <w:tabs>
          <w:tab w:pos="358" w:val="left" w:leader="none"/>
        </w:tabs>
        <w:spacing w:line="240" w:lineRule="auto" w:before="0" w:after="0"/>
        <w:ind w:left="357" w:right="0" w:hanging="195"/>
        <w:jc w:val="left"/>
      </w:pPr>
      <w:r>
        <w:rPr>
          <w:color w:val="007F00"/>
        </w:rPr>
        <w:t>COLETA EXTERNA DOS</w:t>
      </w:r>
      <w:r>
        <w:rPr>
          <w:color w:val="007F00"/>
          <w:spacing w:val="-2"/>
        </w:rPr>
        <w:t> </w:t>
      </w:r>
      <w:r>
        <w:rPr>
          <w:color w:val="007F00"/>
        </w:rPr>
        <w:t>RESIDUOS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spacing w:line="364" w:lineRule="auto"/>
        <w:ind w:left="163" w:right="176"/>
        <w:jc w:val="both"/>
      </w:pPr>
      <w:r>
        <w:rPr/>
        <w:t>Indique a entidade, devidamente licenciada pelo órgão ambiental, que realiza a coleta e transporte externo de cada tipo de resíduo, até a sua destinação final.</w:t>
      </w:r>
    </w:p>
    <w:p>
      <w:pPr>
        <w:pStyle w:val="BodyText"/>
        <w:spacing w:before="10"/>
        <w:rPr>
          <w:sz w:val="34"/>
        </w:rPr>
      </w:pPr>
    </w:p>
    <w:p>
      <w:pPr>
        <w:pStyle w:val="Heading1"/>
      </w:pPr>
      <w:r>
        <w:rPr>
          <w:color w:val="007F00"/>
        </w:rPr>
        <w:t>GRUPO A: RESÍDUOS INFECTANTES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tabs>
          <w:tab w:pos="10027" w:val="left" w:leader="none"/>
          <w:tab w:pos="10077" w:val="left" w:leader="none"/>
        </w:tabs>
        <w:spacing w:line="364" w:lineRule="auto"/>
        <w:ind w:left="163" w:right="116"/>
        <w:jc w:val="both"/>
      </w:pPr>
      <w:r>
        <w:rPr/>
        <w:t>Responsável pelo</w:t>
      </w:r>
      <w:r>
        <w:rPr>
          <w:spacing w:val="22"/>
        </w:rPr>
        <w:t> </w:t>
      </w:r>
      <w:r>
        <w:rPr/>
        <w:t>transporte:</w:t>
      </w:r>
      <w:r>
        <w:rPr>
          <w:spacing w:val="11"/>
        </w:rPr>
        <w:t> </w:t>
      </w:r>
      <w:r>
        <w:rPr/>
        <w:t>_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/>
        <w:t>                                                                                               Veículo</w:t>
      </w:r>
      <w:r>
        <w:rPr>
          <w:spacing w:val="13"/>
        </w:rPr>
        <w:t> </w:t>
      </w:r>
      <w:r>
        <w:rPr/>
        <w:t>utilizado:</w:t>
      </w:r>
      <w:r>
        <w:rPr>
          <w:spacing w:val="3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>
          <w:w w:val="42"/>
          <w:u w:val="single"/>
        </w:rPr>
        <w:t> </w:t>
      </w:r>
      <w:r>
        <w:rPr/>
        <w:t>                                                                                                                 Freqüência</w:t>
      </w:r>
      <w:r>
        <w:rPr>
          <w:spacing w:val="30"/>
        </w:rPr>
        <w:t> </w:t>
      </w:r>
      <w:r>
        <w:rPr/>
        <w:t>de</w:t>
      </w:r>
      <w:r>
        <w:rPr>
          <w:spacing w:val="28"/>
        </w:rPr>
        <w:t> </w:t>
      </w:r>
      <w:r>
        <w:rPr/>
        <w:t>coleta:</w:t>
      </w:r>
      <w:r>
        <w:rPr>
          <w:spacing w:val="22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>
          <w:w w:val="42"/>
          <w:u w:val="single"/>
        </w:rPr>
        <w:t> </w:t>
      </w:r>
      <w:r>
        <w:rPr/>
        <w:t>                                                                                                              Destino</w:t>
      </w:r>
      <w:r>
        <w:rPr>
          <w:spacing w:val="11"/>
        </w:rPr>
        <w:t> </w:t>
      </w:r>
      <w:r>
        <w:rPr/>
        <w:t>Final: </w:t>
      </w:r>
      <w:r>
        <w:rPr>
          <w:w w:val="101"/>
          <w:u w:val="single"/>
        </w:rPr>
        <w:t> </w:t>
      </w:r>
      <w:r>
        <w:rPr>
          <w:u w:val="single"/>
        </w:rPr>
        <w:tab/>
      </w:r>
    </w:p>
    <w:p>
      <w:pPr>
        <w:pStyle w:val="BodyText"/>
        <w:spacing w:before="3"/>
        <w:rPr>
          <w:sz w:val="26"/>
        </w:rPr>
      </w:pPr>
    </w:p>
    <w:p>
      <w:pPr>
        <w:pStyle w:val="Heading1"/>
        <w:spacing w:before="104"/>
        <w:jc w:val="both"/>
      </w:pPr>
      <w:r>
        <w:rPr>
          <w:color w:val="007F00"/>
        </w:rPr>
        <w:t>GRUPO B: RESÍDUOS QUÍMICOS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tabs>
          <w:tab w:pos="9060" w:val="left" w:leader="none"/>
          <w:tab w:pos="10027" w:val="left" w:leader="none"/>
          <w:tab w:pos="10080" w:val="left" w:leader="none"/>
        </w:tabs>
        <w:spacing w:line="364" w:lineRule="auto"/>
        <w:ind w:left="163" w:right="116"/>
        <w:jc w:val="both"/>
      </w:pPr>
      <w:r>
        <w:rPr/>
        <w:t>Responsável pelo</w:t>
      </w:r>
      <w:r>
        <w:rPr>
          <w:spacing w:val="22"/>
        </w:rPr>
        <w:t> </w:t>
      </w:r>
      <w:r>
        <w:rPr/>
        <w:t>transporte:</w:t>
      </w:r>
      <w:r>
        <w:rPr>
          <w:spacing w:val="11"/>
        </w:rPr>
        <w:t> </w:t>
      </w:r>
      <w:r>
        <w:rPr/>
        <w:t>_</w:t>
      </w:r>
      <w:r>
        <w:rPr>
          <w:w w:val="101"/>
          <w:u w:val="single"/>
        </w:rPr>
        <w:t> </w:t>
      </w:r>
      <w:r>
        <w:rPr>
          <w:u w:val="single"/>
        </w:rPr>
        <w:tab/>
        <w:tab/>
        <w:tab/>
      </w:r>
      <w:r>
        <w:rPr/>
        <w:t>                                                                                               Veículo</w:t>
      </w:r>
      <w:r>
        <w:rPr>
          <w:spacing w:val="13"/>
        </w:rPr>
        <w:t> </w:t>
      </w:r>
      <w:r>
        <w:rPr/>
        <w:t>utilizado:</w:t>
      </w:r>
      <w:r>
        <w:rPr>
          <w:spacing w:val="3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  <w:tab/>
      </w:r>
      <w:r>
        <w:rPr>
          <w:w w:val="37"/>
          <w:u w:val="single"/>
        </w:rPr>
        <w:t> </w:t>
      </w:r>
      <w:r>
        <w:rPr/>
        <w:t>                                                                                                                 Freqüência</w:t>
      </w:r>
      <w:r>
        <w:rPr>
          <w:spacing w:val="30"/>
        </w:rPr>
        <w:t> </w:t>
      </w:r>
      <w:r>
        <w:rPr/>
        <w:t>de</w:t>
      </w:r>
      <w:r>
        <w:rPr>
          <w:spacing w:val="28"/>
        </w:rPr>
        <w:t> </w:t>
      </w:r>
      <w:r>
        <w:rPr/>
        <w:t>coleta:</w:t>
      </w:r>
      <w:r>
        <w:rPr>
          <w:spacing w:val="22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  <w:tab/>
      </w:r>
      <w:r>
        <w:rPr>
          <w:w w:val="37"/>
          <w:u w:val="single"/>
        </w:rPr>
        <w:t> </w:t>
      </w:r>
      <w:r>
        <w:rPr/>
        <w:t>                                                                                                              Destino</w:t>
      </w:r>
      <w:r>
        <w:rPr>
          <w:spacing w:val="3"/>
        </w:rPr>
        <w:t> </w:t>
      </w:r>
      <w:r>
        <w:rPr/>
        <w:t>Final:</w:t>
      </w:r>
      <w:r>
        <w:rPr>
          <w:u w:val="single"/>
        </w:rPr>
        <w:t> </w:t>
        <w:tab/>
      </w:r>
      <w:r>
        <w:rPr/>
        <w:t>_</w:t>
      </w:r>
      <w:r>
        <w:rPr>
          <w:w w:val="101"/>
          <w:u w:val="single"/>
        </w:rPr>
        <w:t> </w:t>
      </w:r>
      <w:r>
        <w:rPr>
          <w:u w:val="single"/>
        </w:rPr>
        <w:tab/>
      </w:r>
    </w:p>
    <w:p>
      <w:pPr>
        <w:spacing w:after="0" w:line="364" w:lineRule="auto"/>
        <w:jc w:val="both"/>
        <w:sectPr>
          <w:pgSz w:w="11900" w:h="16840"/>
          <w:pgMar w:top="1600" w:bottom="280" w:left="58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spacing w:before="103"/>
        <w:jc w:val="both"/>
      </w:pPr>
      <w:r>
        <w:rPr>
          <w:color w:val="007F00"/>
        </w:rPr>
        <w:t>GRUPO C: RESÍDUOS RADIOATIVOS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tabs>
          <w:tab w:pos="10027" w:val="left" w:leader="none"/>
          <w:tab w:pos="10077" w:val="left" w:leader="none"/>
        </w:tabs>
        <w:spacing w:line="364" w:lineRule="auto"/>
        <w:ind w:left="163" w:right="116"/>
        <w:jc w:val="both"/>
      </w:pPr>
      <w:r>
        <w:rPr/>
        <w:t>Responsável pelo</w:t>
      </w:r>
      <w:r>
        <w:rPr>
          <w:spacing w:val="22"/>
        </w:rPr>
        <w:t> </w:t>
      </w:r>
      <w:r>
        <w:rPr/>
        <w:t>transporte:</w:t>
      </w:r>
      <w:r>
        <w:rPr>
          <w:spacing w:val="11"/>
        </w:rPr>
        <w:t> </w:t>
      </w:r>
      <w:r>
        <w:rPr/>
        <w:t>_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/>
        <w:t>                                                                                               Veículo</w:t>
      </w:r>
      <w:r>
        <w:rPr>
          <w:spacing w:val="13"/>
        </w:rPr>
        <w:t> </w:t>
      </w:r>
      <w:r>
        <w:rPr/>
        <w:t>utilizado:</w:t>
      </w:r>
      <w:r>
        <w:rPr>
          <w:spacing w:val="3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>
          <w:w w:val="42"/>
          <w:u w:val="single"/>
        </w:rPr>
        <w:t> </w:t>
      </w:r>
      <w:r>
        <w:rPr/>
        <w:t>                                                                                                                 Freqüência</w:t>
      </w:r>
      <w:r>
        <w:rPr>
          <w:spacing w:val="30"/>
        </w:rPr>
        <w:t> </w:t>
      </w:r>
      <w:r>
        <w:rPr/>
        <w:t>de</w:t>
      </w:r>
      <w:r>
        <w:rPr>
          <w:spacing w:val="28"/>
        </w:rPr>
        <w:t> </w:t>
      </w:r>
      <w:r>
        <w:rPr/>
        <w:t>coleta:</w:t>
      </w:r>
      <w:r>
        <w:rPr>
          <w:spacing w:val="22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>
          <w:w w:val="42"/>
          <w:u w:val="single"/>
        </w:rPr>
        <w:t> </w:t>
      </w:r>
      <w:r>
        <w:rPr/>
        <w:t>                                                                                                              Destino</w:t>
      </w:r>
      <w:r>
        <w:rPr>
          <w:spacing w:val="11"/>
        </w:rPr>
        <w:t> </w:t>
      </w:r>
      <w:r>
        <w:rPr/>
        <w:t>Final: </w:t>
      </w:r>
      <w:r>
        <w:rPr>
          <w:w w:val="101"/>
          <w:u w:val="single"/>
        </w:rPr>
        <w:t> </w:t>
      </w:r>
      <w:r>
        <w:rPr>
          <w:u w:val="single"/>
        </w:rPr>
        <w:tab/>
      </w:r>
    </w:p>
    <w:p>
      <w:pPr>
        <w:pStyle w:val="BodyText"/>
        <w:spacing w:before="4"/>
        <w:rPr>
          <w:sz w:val="26"/>
        </w:rPr>
      </w:pPr>
    </w:p>
    <w:p>
      <w:pPr>
        <w:pStyle w:val="Heading1"/>
        <w:spacing w:before="103"/>
        <w:jc w:val="both"/>
      </w:pPr>
      <w:r>
        <w:rPr>
          <w:color w:val="007F00"/>
        </w:rPr>
        <w:t>GRUPO D: RESÍDUOS COMUNS NÃO RECICLÁVEIS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1"/>
        </w:rPr>
      </w:pPr>
    </w:p>
    <w:p>
      <w:pPr>
        <w:pStyle w:val="BodyText"/>
        <w:tabs>
          <w:tab w:pos="10027" w:val="left" w:leader="none"/>
          <w:tab w:pos="10080" w:val="left" w:leader="none"/>
        </w:tabs>
        <w:spacing w:line="364" w:lineRule="auto"/>
        <w:ind w:left="163" w:right="116"/>
        <w:jc w:val="both"/>
      </w:pPr>
      <w:r>
        <w:rPr/>
        <w:t>Responsável pelo</w:t>
      </w:r>
      <w:r>
        <w:rPr>
          <w:spacing w:val="22"/>
        </w:rPr>
        <w:t> </w:t>
      </w:r>
      <w:r>
        <w:rPr/>
        <w:t>transporte:</w:t>
      </w:r>
      <w:r>
        <w:rPr>
          <w:spacing w:val="11"/>
        </w:rPr>
        <w:t> </w:t>
      </w:r>
      <w:r>
        <w:rPr/>
        <w:t>_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/>
        <w:t>                                                                                               Veículo</w:t>
      </w:r>
      <w:r>
        <w:rPr>
          <w:spacing w:val="13"/>
        </w:rPr>
        <w:t> </w:t>
      </w:r>
      <w:r>
        <w:rPr/>
        <w:t>utilizado:</w:t>
      </w:r>
      <w:r>
        <w:rPr>
          <w:spacing w:val="3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>
          <w:w w:val="37"/>
          <w:u w:val="single"/>
        </w:rPr>
        <w:t> </w:t>
      </w:r>
      <w:r>
        <w:rPr/>
        <w:t>                                                                                                                 Freqüência</w:t>
      </w:r>
      <w:r>
        <w:rPr>
          <w:spacing w:val="30"/>
        </w:rPr>
        <w:t> </w:t>
      </w:r>
      <w:r>
        <w:rPr/>
        <w:t>de</w:t>
      </w:r>
      <w:r>
        <w:rPr>
          <w:spacing w:val="28"/>
        </w:rPr>
        <w:t> </w:t>
      </w:r>
      <w:r>
        <w:rPr/>
        <w:t>coleta:</w:t>
      </w:r>
      <w:r>
        <w:rPr>
          <w:spacing w:val="22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>
          <w:w w:val="37"/>
          <w:u w:val="single"/>
        </w:rPr>
        <w:t> </w:t>
      </w:r>
      <w:r>
        <w:rPr/>
        <w:t>                                                                                                              Destino</w:t>
      </w:r>
      <w:r>
        <w:rPr>
          <w:spacing w:val="11"/>
        </w:rPr>
        <w:t> </w:t>
      </w:r>
      <w:r>
        <w:rPr/>
        <w:t>Final: </w:t>
      </w:r>
      <w:r>
        <w:rPr>
          <w:w w:val="101"/>
          <w:u w:val="single"/>
        </w:rPr>
        <w:t> </w:t>
      </w:r>
      <w:r>
        <w:rPr>
          <w:u w:val="single"/>
        </w:rPr>
        <w:tab/>
      </w:r>
    </w:p>
    <w:p>
      <w:pPr>
        <w:pStyle w:val="BodyText"/>
        <w:spacing w:before="1"/>
        <w:rPr>
          <w:sz w:val="26"/>
        </w:rPr>
      </w:pPr>
    </w:p>
    <w:p>
      <w:pPr>
        <w:pStyle w:val="Heading1"/>
        <w:spacing w:before="103"/>
        <w:jc w:val="both"/>
      </w:pPr>
      <w:r>
        <w:rPr>
          <w:color w:val="007F00"/>
        </w:rPr>
        <w:t>GRUPO E: RESÍDUOS RECICLÁVEIS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tabs>
          <w:tab w:pos="10027" w:val="left" w:leader="none"/>
          <w:tab w:pos="10077" w:val="left" w:leader="none"/>
        </w:tabs>
        <w:spacing w:line="364" w:lineRule="auto"/>
        <w:ind w:left="163" w:right="116"/>
        <w:jc w:val="both"/>
      </w:pPr>
      <w:r>
        <w:rPr/>
        <w:t>Responsável pelo</w:t>
      </w:r>
      <w:r>
        <w:rPr>
          <w:spacing w:val="22"/>
        </w:rPr>
        <w:t> </w:t>
      </w:r>
      <w:r>
        <w:rPr/>
        <w:t>transporte:</w:t>
      </w:r>
      <w:r>
        <w:rPr>
          <w:spacing w:val="11"/>
        </w:rPr>
        <w:t> </w:t>
      </w:r>
      <w:r>
        <w:rPr/>
        <w:t>_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/>
        <w:t>                                                                                               Veículo</w:t>
      </w:r>
      <w:r>
        <w:rPr>
          <w:spacing w:val="13"/>
        </w:rPr>
        <w:t> </w:t>
      </w:r>
      <w:r>
        <w:rPr/>
        <w:t>utilizado:</w:t>
      </w:r>
      <w:r>
        <w:rPr>
          <w:spacing w:val="3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>
          <w:w w:val="42"/>
          <w:u w:val="single"/>
        </w:rPr>
        <w:t> </w:t>
      </w:r>
      <w:r>
        <w:rPr/>
        <w:t>                                                                                                                 Freqüência</w:t>
      </w:r>
      <w:r>
        <w:rPr>
          <w:spacing w:val="30"/>
        </w:rPr>
        <w:t> </w:t>
      </w:r>
      <w:r>
        <w:rPr/>
        <w:t>de</w:t>
      </w:r>
      <w:r>
        <w:rPr>
          <w:spacing w:val="28"/>
        </w:rPr>
        <w:t> </w:t>
      </w:r>
      <w:r>
        <w:rPr/>
        <w:t>coleta:</w:t>
      </w:r>
      <w:r>
        <w:rPr>
          <w:spacing w:val="22"/>
        </w:rPr>
        <w:t> </w:t>
      </w:r>
      <w:r>
        <w:rPr>
          <w:w w:val="101"/>
          <w:u w:val="single"/>
        </w:rPr>
        <w:t> </w:t>
      </w:r>
      <w:r>
        <w:rPr>
          <w:u w:val="single"/>
        </w:rPr>
        <w:tab/>
        <w:tab/>
      </w:r>
      <w:r>
        <w:rPr>
          <w:w w:val="42"/>
          <w:u w:val="single"/>
        </w:rPr>
        <w:t> </w:t>
      </w:r>
      <w:r>
        <w:rPr/>
        <w:t>                                                                                                              Destino</w:t>
      </w:r>
      <w:r>
        <w:rPr>
          <w:spacing w:val="11"/>
        </w:rPr>
        <w:t> </w:t>
      </w:r>
      <w:r>
        <w:rPr/>
        <w:t>Final: </w:t>
      </w:r>
      <w:r>
        <w:rPr>
          <w:w w:val="101"/>
          <w:u w:val="single"/>
        </w:rPr>
        <w:t> </w:t>
      </w:r>
      <w:r>
        <w:rPr>
          <w:u w:val="single"/>
        </w:rPr>
        <w:tab/>
      </w:r>
    </w:p>
    <w:p>
      <w:pPr>
        <w:pStyle w:val="BodyText"/>
        <w:spacing w:before="4"/>
        <w:rPr>
          <w:sz w:val="26"/>
        </w:rPr>
      </w:pPr>
    </w:p>
    <w:p>
      <w:pPr>
        <w:pStyle w:val="Heading1"/>
        <w:numPr>
          <w:ilvl w:val="0"/>
          <w:numId w:val="1"/>
        </w:numPr>
        <w:tabs>
          <w:tab w:pos="424" w:val="left" w:leader="none"/>
        </w:tabs>
        <w:spacing w:line="364" w:lineRule="auto" w:before="103" w:after="0"/>
        <w:ind w:left="163" w:right="2391" w:firstLine="0"/>
        <w:jc w:val="left"/>
      </w:pPr>
      <w:r>
        <w:rPr>
          <w:color w:val="007F00"/>
        </w:rPr>
        <w:t>SAÚDE E SEGURANÇA OCUPACIONAL – OBRIGAÇÕES LEGAIS E RECOMENDAÇÕES</w:t>
      </w:r>
    </w:p>
    <w:p>
      <w:pPr>
        <w:pStyle w:val="BodyText"/>
        <w:rPr>
          <w:b/>
          <w:sz w:val="35"/>
        </w:rPr>
      </w:pPr>
    </w:p>
    <w:p>
      <w:pPr>
        <w:spacing w:line="364" w:lineRule="auto" w:before="1"/>
        <w:ind w:left="163" w:right="176" w:firstLine="0"/>
        <w:jc w:val="both"/>
        <w:rPr>
          <w:sz w:val="23"/>
        </w:rPr>
      </w:pPr>
      <w:r>
        <w:rPr>
          <w:sz w:val="23"/>
        </w:rPr>
        <w:t>As seguintes medidas serão implantadas neste estabelecimento, de acordo com </w:t>
      </w:r>
      <w:r>
        <w:rPr>
          <w:b/>
          <w:sz w:val="23"/>
        </w:rPr>
        <w:t>Resoluções 306/2004, CONAMA nº 358/2005</w:t>
      </w:r>
      <w:r>
        <w:rPr>
          <w:sz w:val="23"/>
        </w:rPr>
        <w:t>, </w:t>
      </w:r>
      <w:r>
        <w:rPr>
          <w:b/>
          <w:sz w:val="23"/>
        </w:rPr>
        <w:t>Normas </w:t>
      </w:r>
      <w:r>
        <w:rPr>
          <w:sz w:val="23"/>
        </w:rPr>
        <w:t>pertinentes da </w:t>
      </w:r>
      <w:r>
        <w:rPr>
          <w:b/>
          <w:sz w:val="23"/>
        </w:rPr>
        <w:t>ABNT </w:t>
      </w:r>
      <w:r>
        <w:rPr>
          <w:sz w:val="23"/>
        </w:rPr>
        <w:t>e do </w:t>
      </w:r>
      <w:r>
        <w:rPr>
          <w:b/>
          <w:sz w:val="23"/>
        </w:rPr>
        <w:t>município sede do estabelecimento</w:t>
      </w:r>
      <w:r>
        <w:rPr>
          <w:sz w:val="23"/>
        </w:rPr>
        <w:t>.</w:t>
      </w:r>
    </w:p>
    <w:p>
      <w:pPr>
        <w:pStyle w:val="BodyText"/>
        <w:spacing w:before="6"/>
        <w:rPr>
          <w:sz w:val="35"/>
        </w:rPr>
      </w:pPr>
    </w:p>
    <w:p>
      <w:pPr>
        <w:pStyle w:val="ListParagraph"/>
        <w:numPr>
          <w:ilvl w:val="0"/>
          <w:numId w:val="4"/>
        </w:numPr>
        <w:tabs>
          <w:tab w:pos="457" w:val="left" w:leader="none"/>
        </w:tabs>
        <w:spacing w:line="364" w:lineRule="auto" w:before="0" w:after="0"/>
        <w:ind w:left="163" w:right="174" w:firstLine="0"/>
        <w:jc w:val="both"/>
        <w:rPr>
          <w:sz w:val="23"/>
        </w:rPr>
      </w:pPr>
      <w:r>
        <w:rPr>
          <w:sz w:val="23"/>
        </w:rPr>
        <w:t>Durante o manuseio dos resíduos o funcionário deverá utilizar os  seguintes  equipamentos de proteção individual: luvas: de PVC ou borracha, impermeáveis, resistentes, de cor clara, antiderrapantes e de cano longo; e avental: de PVC, impermeável</w:t>
      </w:r>
      <w:r>
        <w:rPr>
          <w:spacing w:val="9"/>
          <w:sz w:val="23"/>
        </w:rPr>
        <w:t> </w:t>
      </w:r>
      <w:r>
        <w:rPr>
          <w:sz w:val="23"/>
        </w:rPr>
        <w:t>e de médio comprimento.</w:t>
      </w:r>
    </w:p>
    <w:p>
      <w:pPr>
        <w:spacing w:after="0" w:line="364" w:lineRule="auto"/>
        <w:jc w:val="both"/>
        <w:rPr>
          <w:sz w:val="23"/>
        </w:rPr>
        <w:sectPr>
          <w:pgSz w:w="11900" w:h="16840"/>
          <w:pgMar w:top="1600" w:bottom="280" w:left="58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5"/>
        </w:rPr>
      </w:pPr>
    </w:p>
    <w:p>
      <w:pPr>
        <w:pStyle w:val="ListParagraph"/>
        <w:numPr>
          <w:ilvl w:val="0"/>
          <w:numId w:val="4"/>
        </w:numPr>
        <w:tabs>
          <w:tab w:pos="433" w:val="left" w:leader="none"/>
        </w:tabs>
        <w:spacing w:line="364" w:lineRule="auto" w:before="99" w:after="0"/>
        <w:ind w:left="163" w:right="194" w:firstLine="0"/>
        <w:jc w:val="left"/>
        <w:rPr>
          <w:sz w:val="23"/>
        </w:rPr>
      </w:pPr>
      <w:r>
        <w:rPr>
          <w:sz w:val="23"/>
        </w:rPr>
        <w:t>Após a coleta interna, o funcionário deve lavar as mãos ainda enluvadas, retirando as luvas   e colocando-as em local apropriado. O funcionário deve lavar as mãos antes de calçar as luvas e depois de</w:t>
      </w:r>
      <w:r>
        <w:rPr>
          <w:spacing w:val="-1"/>
          <w:sz w:val="23"/>
        </w:rPr>
        <w:t> </w:t>
      </w:r>
      <w:r>
        <w:rPr>
          <w:sz w:val="23"/>
        </w:rPr>
        <w:t>retirá-las.</w:t>
      </w:r>
    </w:p>
    <w:p>
      <w:pPr>
        <w:pStyle w:val="BodyText"/>
        <w:spacing w:before="4"/>
        <w:rPr>
          <w:sz w:val="35"/>
        </w:rPr>
      </w:pPr>
    </w:p>
    <w:p>
      <w:pPr>
        <w:pStyle w:val="ListParagraph"/>
        <w:numPr>
          <w:ilvl w:val="0"/>
          <w:numId w:val="4"/>
        </w:numPr>
        <w:tabs>
          <w:tab w:pos="433" w:val="left" w:leader="none"/>
        </w:tabs>
        <w:spacing w:line="364" w:lineRule="auto" w:before="0" w:after="0"/>
        <w:ind w:left="163" w:right="911" w:firstLine="0"/>
        <w:jc w:val="left"/>
        <w:rPr>
          <w:sz w:val="23"/>
        </w:rPr>
      </w:pPr>
      <w:r>
        <w:rPr>
          <w:sz w:val="23"/>
        </w:rPr>
        <w:t>Em caso de ruptura das luvas, o funcionário deve descartá-las imediatamente, não as reutilizando.</w:t>
      </w:r>
    </w:p>
    <w:p>
      <w:pPr>
        <w:pStyle w:val="BodyText"/>
        <w:spacing w:before="1"/>
        <w:rPr>
          <w:sz w:val="35"/>
        </w:rPr>
      </w:pPr>
    </w:p>
    <w:p>
      <w:pPr>
        <w:pStyle w:val="ListParagraph"/>
        <w:numPr>
          <w:ilvl w:val="0"/>
          <w:numId w:val="4"/>
        </w:numPr>
        <w:tabs>
          <w:tab w:pos="433" w:val="left" w:leader="none"/>
        </w:tabs>
        <w:spacing w:line="364" w:lineRule="auto" w:before="0" w:after="0"/>
        <w:ind w:left="163" w:right="389" w:firstLine="0"/>
        <w:jc w:val="left"/>
        <w:rPr>
          <w:sz w:val="23"/>
        </w:rPr>
      </w:pPr>
      <w:r>
        <w:rPr>
          <w:sz w:val="23"/>
        </w:rPr>
        <w:t>Estes equipamentos de proteção individual devem ser lavados e desinfetados diariamente. Sempre que houver contaminação com material infectante, devem ser substituídos imediatamente, lavados e</w:t>
      </w:r>
      <w:r>
        <w:rPr>
          <w:spacing w:val="3"/>
          <w:sz w:val="23"/>
        </w:rPr>
        <w:t> </w:t>
      </w:r>
      <w:r>
        <w:rPr>
          <w:sz w:val="23"/>
        </w:rPr>
        <w:t>esterilizados.</w:t>
      </w:r>
    </w:p>
    <w:p>
      <w:pPr>
        <w:pStyle w:val="BodyText"/>
        <w:spacing w:before="4"/>
        <w:rPr>
          <w:sz w:val="35"/>
        </w:rPr>
      </w:pPr>
    </w:p>
    <w:p>
      <w:pPr>
        <w:pStyle w:val="BodyText"/>
        <w:spacing w:line="364" w:lineRule="auto"/>
        <w:ind w:left="163" w:right="373"/>
      </w:pPr>
      <w:r>
        <w:rPr/>
        <w:t>As pessoas envolvidas com o manuseio de resíduos devem ser submetidas a exame admissional, periódico, de retorno ao trabalho, mudança de função e demissional. Os exames e avaliações que devem ser submetidas são: Anamnese ocupacional, Exame físico, Exame mental. Os funcionários também devem ser vacinados contra tétano, hepatite e outras considerações importantes pela Vigilância</w:t>
      </w:r>
      <w:r>
        <w:rPr>
          <w:spacing w:val="4"/>
        </w:rPr>
        <w:t> </w:t>
      </w:r>
      <w:r>
        <w:rPr/>
        <w:t>Sanitária.</w:t>
      </w:r>
    </w:p>
    <w:p>
      <w:pPr>
        <w:pStyle w:val="BodyText"/>
        <w:spacing w:before="2"/>
        <w:rPr>
          <w:sz w:val="35"/>
        </w:rPr>
      </w:pPr>
    </w:p>
    <w:p>
      <w:pPr>
        <w:spacing w:line="369" w:lineRule="auto" w:before="0"/>
        <w:ind w:left="163" w:right="373" w:firstLine="0"/>
        <w:jc w:val="left"/>
        <w:rPr>
          <w:sz w:val="23"/>
        </w:rPr>
      </w:pPr>
      <w:r>
        <w:rPr>
          <w:sz w:val="23"/>
        </w:rPr>
        <w:t>Para a </w:t>
      </w:r>
      <w:r>
        <w:rPr>
          <w:b/>
          <w:sz w:val="23"/>
        </w:rPr>
        <w:t>prevenção de acidentes e exposição do trabalhador e agentes biológicos </w:t>
      </w:r>
      <w:r>
        <w:rPr>
          <w:sz w:val="23"/>
        </w:rPr>
        <w:t>devem  ser adotadas as seguintes</w:t>
      </w:r>
      <w:r>
        <w:rPr>
          <w:spacing w:val="6"/>
          <w:sz w:val="23"/>
        </w:rPr>
        <w:t> </w:t>
      </w:r>
      <w:r>
        <w:rPr>
          <w:sz w:val="23"/>
        </w:rPr>
        <w:t>medidas:</w:t>
      </w:r>
    </w:p>
    <w:p>
      <w:pPr>
        <w:pStyle w:val="BodyText"/>
        <w:spacing w:before="6"/>
        <w:rPr>
          <w:sz w:val="34"/>
        </w:rPr>
      </w:pPr>
    </w:p>
    <w:p>
      <w:pPr>
        <w:pStyle w:val="ListParagraph"/>
        <w:numPr>
          <w:ilvl w:val="0"/>
          <w:numId w:val="5"/>
        </w:numPr>
        <w:tabs>
          <w:tab w:pos="433" w:val="left" w:leader="none"/>
        </w:tabs>
        <w:spacing w:line="240" w:lineRule="auto" w:before="1" w:after="0"/>
        <w:ind w:left="432" w:right="0" w:hanging="270"/>
        <w:jc w:val="left"/>
        <w:rPr>
          <w:sz w:val="23"/>
        </w:rPr>
      </w:pPr>
      <w:r>
        <w:rPr>
          <w:sz w:val="23"/>
        </w:rPr>
        <w:t>Realizar anti-sepsia das mãos sempre que houver contato da pele com</w:t>
      </w:r>
      <w:r>
        <w:rPr>
          <w:spacing w:val="15"/>
          <w:sz w:val="23"/>
        </w:rPr>
        <w:t> </w:t>
      </w:r>
      <w:r>
        <w:rPr>
          <w:sz w:val="23"/>
        </w:rPr>
        <w:t>sangue e secreções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ListParagraph"/>
        <w:numPr>
          <w:ilvl w:val="0"/>
          <w:numId w:val="5"/>
        </w:numPr>
        <w:tabs>
          <w:tab w:pos="433" w:val="left" w:leader="none"/>
        </w:tabs>
        <w:spacing w:line="240" w:lineRule="auto" w:before="0" w:after="0"/>
        <w:ind w:left="432" w:right="0" w:hanging="270"/>
        <w:jc w:val="left"/>
        <w:rPr>
          <w:sz w:val="23"/>
        </w:rPr>
      </w:pPr>
      <w:r>
        <w:rPr>
          <w:sz w:val="23"/>
        </w:rPr>
        <w:t>Usar luvas sempre e, após retirá-las realizar lavagem das</w:t>
      </w:r>
      <w:r>
        <w:rPr>
          <w:spacing w:val="15"/>
          <w:sz w:val="23"/>
        </w:rPr>
        <w:t> </w:t>
      </w:r>
      <w:r>
        <w:rPr>
          <w:sz w:val="23"/>
        </w:rPr>
        <w:t>mãos.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ListParagraph"/>
        <w:numPr>
          <w:ilvl w:val="0"/>
          <w:numId w:val="5"/>
        </w:numPr>
        <w:tabs>
          <w:tab w:pos="433" w:val="left" w:leader="none"/>
        </w:tabs>
        <w:spacing w:line="240" w:lineRule="auto" w:before="1" w:after="0"/>
        <w:ind w:left="432" w:right="0" w:hanging="270"/>
        <w:jc w:val="left"/>
        <w:rPr>
          <w:sz w:val="23"/>
        </w:rPr>
      </w:pPr>
      <w:r>
        <w:rPr>
          <w:sz w:val="23"/>
        </w:rPr>
        <w:t>Não fumar e não alimentar-se durante o manuseio com</w:t>
      </w:r>
      <w:r>
        <w:rPr>
          <w:spacing w:val="13"/>
          <w:sz w:val="23"/>
        </w:rPr>
        <w:t> </w:t>
      </w:r>
      <w:r>
        <w:rPr>
          <w:sz w:val="23"/>
        </w:rPr>
        <w:t>resíduos.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ListParagraph"/>
        <w:numPr>
          <w:ilvl w:val="0"/>
          <w:numId w:val="5"/>
        </w:numPr>
        <w:tabs>
          <w:tab w:pos="460" w:val="left" w:leader="none"/>
        </w:tabs>
        <w:spacing w:line="364" w:lineRule="auto" w:before="0" w:after="0"/>
        <w:ind w:left="163" w:right="177" w:firstLine="0"/>
        <w:jc w:val="left"/>
        <w:rPr>
          <w:sz w:val="23"/>
        </w:rPr>
      </w:pPr>
      <w:r>
        <w:rPr>
          <w:sz w:val="23"/>
        </w:rPr>
        <w:t>Retirar as luvas e lavar as mãos sempre que exercer outra atividade não relacionada aos resíduos (ir ao sanitário, atender o telefone, beber água,</w:t>
      </w:r>
      <w:r>
        <w:rPr>
          <w:spacing w:val="14"/>
          <w:sz w:val="23"/>
        </w:rPr>
        <w:t> </w:t>
      </w:r>
      <w:r>
        <w:rPr>
          <w:sz w:val="23"/>
        </w:rPr>
        <w:t>etc.)</w:t>
      </w:r>
    </w:p>
    <w:p>
      <w:pPr>
        <w:pStyle w:val="BodyText"/>
        <w:spacing w:before="1"/>
        <w:rPr>
          <w:sz w:val="35"/>
        </w:rPr>
      </w:pPr>
    </w:p>
    <w:p>
      <w:pPr>
        <w:pStyle w:val="ListParagraph"/>
        <w:numPr>
          <w:ilvl w:val="0"/>
          <w:numId w:val="5"/>
        </w:numPr>
        <w:tabs>
          <w:tab w:pos="433" w:val="left" w:leader="none"/>
        </w:tabs>
        <w:spacing w:line="240" w:lineRule="auto" w:before="0" w:after="0"/>
        <w:ind w:left="432" w:right="0" w:hanging="270"/>
        <w:jc w:val="left"/>
        <w:rPr>
          <w:sz w:val="23"/>
        </w:rPr>
      </w:pPr>
      <w:r>
        <w:rPr>
          <w:sz w:val="23"/>
        </w:rPr>
        <w:t>Manter o ambiente sempre</w:t>
      </w:r>
      <w:r>
        <w:rPr>
          <w:spacing w:val="1"/>
          <w:sz w:val="23"/>
        </w:rPr>
        <w:t> </w:t>
      </w:r>
      <w:r>
        <w:rPr>
          <w:sz w:val="23"/>
        </w:rPr>
        <w:t>limpo.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BodyText"/>
        <w:ind w:left="163"/>
      </w:pPr>
      <w:r>
        <w:rPr/>
        <w:t>Em caso de acidente com perfurantes e cortantes, as seguintes medidas serão tomadas:</w:t>
      </w:r>
    </w:p>
    <w:p>
      <w:pPr>
        <w:spacing w:after="0"/>
        <w:sectPr>
          <w:pgSz w:w="11900" w:h="16840"/>
          <w:pgMar w:top="1600" w:bottom="280" w:left="58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5"/>
        </w:rPr>
      </w:pPr>
    </w:p>
    <w:p>
      <w:pPr>
        <w:pStyle w:val="ListParagraph"/>
        <w:numPr>
          <w:ilvl w:val="0"/>
          <w:numId w:val="6"/>
        </w:numPr>
        <w:tabs>
          <w:tab w:pos="515" w:val="left" w:leader="none"/>
        </w:tabs>
        <w:spacing w:line="240" w:lineRule="auto" w:before="99" w:after="0"/>
        <w:ind w:left="514" w:right="0" w:hanging="352"/>
        <w:jc w:val="left"/>
        <w:rPr>
          <w:sz w:val="23"/>
        </w:rPr>
      </w:pPr>
      <w:r>
        <w:rPr>
          <w:sz w:val="23"/>
        </w:rPr>
        <w:t>Lavar bem o local com solução de detergente</w:t>
      </w:r>
      <w:r>
        <w:rPr>
          <w:spacing w:val="21"/>
          <w:sz w:val="23"/>
        </w:rPr>
        <w:t> </w:t>
      </w:r>
      <w:r>
        <w:rPr>
          <w:sz w:val="23"/>
        </w:rPr>
        <w:t>neutro.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462" w:val="left" w:leader="none"/>
        </w:tabs>
        <w:spacing w:line="364" w:lineRule="auto" w:before="0" w:after="0"/>
        <w:ind w:left="163" w:right="173" w:firstLine="0"/>
        <w:jc w:val="left"/>
        <w:rPr>
          <w:sz w:val="23"/>
        </w:rPr>
      </w:pPr>
      <w:r>
        <w:rPr>
          <w:sz w:val="23"/>
        </w:rPr>
        <w:t>Aplicar solução anti-séptica (álcool iodado, álcool glicerinado a 70%) de 30 segundos a 2 minutos.</w:t>
      </w:r>
    </w:p>
    <w:p>
      <w:pPr>
        <w:pStyle w:val="BodyText"/>
        <w:spacing w:before="1"/>
        <w:rPr>
          <w:sz w:val="35"/>
        </w:rPr>
      </w:pPr>
    </w:p>
    <w:p>
      <w:pPr>
        <w:pStyle w:val="ListParagraph"/>
        <w:numPr>
          <w:ilvl w:val="0"/>
          <w:numId w:val="6"/>
        </w:numPr>
        <w:tabs>
          <w:tab w:pos="464" w:val="left" w:leader="none"/>
        </w:tabs>
        <w:spacing w:line="367" w:lineRule="auto" w:before="0" w:after="0"/>
        <w:ind w:left="163" w:right="176" w:firstLine="0"/>
        <w:jc w:val="left"/>
        <w:rPr>
          <w:sz w:val="23"/>
        </w:rPr>
      </w:pPr>
      <w:r>
        <w:rPr>
          <w:sz w:val="23"/>
        </w:rPr>
        <w:t>Notificar imediatamente a chefia da unidade, e encaminhar para o pronto atendimento se necessário.</w:t>
      </w:r>
    </w:p>
    <w:p>
      <w:pPr>
        <w:pStyle w:val="BodyText"/>
        <w:spacing w:before="9"/>
        <w:rPr>
          <w:sz w:val="34"/>
        </w:rPr>
      </w:pPr>
    </w:p>
    <w:p>
      <w:pPr>
        <w:pStyle w:val="Heading1"/>
        <w:numPr>
          <w:ilvl w:val="0"/>
          <w:numId w:val="1"/>
        </w:numPr>
        <w:tabs>
          <w:tab w:pos="551" w:val="left" w:leader="none"/>
        </w:tabs>
        <w:spacing w:line="240" w:lineRule="auto" w:before="0" w:after="0"/>
        <w:ind w:left="550" w:right="0" w:hanging="388"/>
        <w:jc w:val="left"/>
      </w:pPr>
      <w:r>
        <w:rPr>
          <w:color w:val="007F00"/>
        </w:rPr>
        <w:t>BIBLIOGRAFIA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2"/>
        <w:rPr>
          <w:b/>
          <w:sz w:val="21"/>
        </w:rPr>
      </w:pPr>
    </w:p>
    <w:p>
      <w:pPr>
        <w:pStyle w:val="BodyText"/>
        <w:spacing w:line="364" w:lineRule="auto"/>
        <w:ind w:left="163" w:right="174"/>
        <w:jc w:val="both"/>
      </w:pPr>
      <w:r>
        <w:rPr/>
        <w:t>Para fins de atendimento de apresentação do Plano de Gerenciamento de Resíduos Sólidos Sépticos, deverão ser observadas as seguintes Legislações e Normas Técnicas:</w:t>
      </w:r>
    </w:p>
    <w:p>
      <w:pPr>
        <w:pStyle w:val="BodyText"/>
        <w:rPr>
          <w:sz w:val="35"/>
        </w:rPr>
      </w:pPr>
    </w:p>
    <w:p>
      <w:pPr>
        <w:spacing w:before="1"/>
        <w:ind w:left="163" w:right="0" w:firstLine="0"/>
        <w:jc w:val="both"/>
        <w:rPr>
          <w:sz w:val="23"/>
        </w:rPr>
      </w:pPr>
      <w:r>
        <w:rPr>
          <w:b/>
          <w:sz w:val="23"/>
        </w:rPr>
        <w:t>LEI FEDERAL Nº 9605/98 </w:t>
      </w:r>
      <w:r>
        <w:rPr>
          <w:sz w:val="23"/>
        </w:rPr>
        <w:t>– Dispõe sobre crimes ambientais.</w:t>
      </w:r>
    </w:p>
    <w:p>
      <w:pPr>
        <w:pStyle w:val="BodyText"/>
        <w:spacing w:line="364" w:lineRule="auto" w:before="141"/>
        <w:ind w:left="163" w:right="176"/>
        <w:jc w:val="both"/>
      </w:pPr>
      <w:r>
        <w:rPr/>
        <w:t>RESOLUÇÃO CONAMA Nº 01/86 – Estabelece definições, responsabilidade, critérios básicos,  e diretrizes da avaliação do impacto ambiental, determina que aterros sanitários,  processamento e destino final de resíduos tóxicos ou perigosos são passiveis de</w:t>
      </w:r>
      <w:r>
        <w:rPr>
          <w:spacing w:val="62"/>
        </w:rPr>
        <w:t> </w:t>
      </w:r>
      <w:r>
        <w:rPr/>
        <w:t>avaliação.</w:t>
      </w:r>
    </w:p>
    <w:p>
      <w:pPr>
        <w:pStyle w:val="BodyText"/>
        <w:spacing w:before="1"/>
        <w:rPr>
          <w:sz w:val="35"/>
        </w:rPr>
      </w:pPr>
    </w:p>
    <w:p>
      <w:pPr>
        <w:pStyle w:val="BodyText"/>
        <w:spacing w:line="364" w:lineRule="auto" w:before="1"/>
        <w:ind w:left="163" w:right="173"/>
        <w:jc w:val="both"/>
      </w:pPr>
      <w:r>
        <w:rPr>
          <w:b/>
        </w:rPr>
        <w:t>RESOLUÇÃO CONAMA Nº 05/88 </w:t>
      </w:r>
      <w:r>
        <w:rPr/>
        <w:t>– Especifica licenciamento de obras de unidade de transferências, tratamento e disposição final de resíduos sólidos de origem domésticas,  públicas, industriais e de origem</w:t>
      </w:r>
      <w:r>
        <w:rPr>
          <w:spacing w:val="7"/>
        </w:rPr>
        <w:t> </w:t>
      </w:r>
      <w:r>
        <w:rPr/>
        <w:t>hospitalar.</w:t>
      </w:r>
    </w:p>
    <w:p>
      <w:pPr>
        <w:pStyle w:val="BodyText"/>
        <w:spacing w:before="1"/>
        <w:rPr>
          <w:sz w:val="35"/>
        </w:rPr>
      </w:pPr>
    </w:p>
    <w:p>
      <w:pPr>
        <w:pStyle w:val="BodyText"/>
        <w:spacing w:line="364" w:lineRule="auto" w:before="1"/>
        <w:ind w:left="163" w:right="173"/>
        <w:jc w:val="both"/>
      </w:pPr>
      <w:r>
        <w:rPr>
          <w:b/>
        </w:rPr>
        <w:t>RESOLUÇÃO CONAMA Nº 05/93 </w:t>
      </w:r>
      <w:r>
        <w:rPr/>
        <w:t>– dispões sobre destinação dos resíduos sólidos de serviço de saúde, portos, aeroportos, terminais rodoviários e ferroviários. Onde define a responsabilidade do gerador quanto o gerenciamento dos resíduos desde a geração até a disposição final.</w:t>
      </w:r>
    </w:p>
    <w:p>
      <w:pPr>
        <w:pStyle w:val="BodyText"/>
        <w:spacing w:before="2"/>
        <w:rPr>
          <w:sz w:val="35"/>
        </w:rPr>
      </w:pPr>
    </w:p>
    <w:p>
      <w:pPr>
        <w:spacing w:line="369" w:lineRule="auto" w:before="1"/>
        <w:ind w:left="163" w:right="177" w:firstLine="0"/>
        <w:jc w:val="both"/>
        <w:rPr>
          <w:sz w:val="23"/>
        </w:rPr>
      </w:pPr>
      <w:r>
        <w:rPr>
          <w:b/>
          <w:sz w:val="23"/>
        </w:rPr>
        <w:t>RESOLUÇÃO CONAMA Nº 358/2005 </w:t>
      </w:r>
      <w:r>
        <w:rPr>
          <w:sz w:val="23"/>
        </w:rPr>
        <w:t>– Dispõe sobre o tratamento a destinação final dos resíduos dos serviços de saúde.</w:t>
      </w:r>
    </w:p>
    <w:p>
      <w:pPr>
        <w:pStyle w:val="BodyText"/>
        <w:spacing w:before="4"/>
        <w:rPr>
          <w:sz w:val="34"/>
        </w:rPr>
      </w:pPr>
    </w:p>
    <w:p>
      <w:pPr>
        <w:spacing w:line="367" w:lineRule="auto" w:before="0"/>
        <w:ind w:left="163" w:right="173" w:firstLine="0"/>
        <w:jc w:val="both"/>
        <w:rPr>
          <w:sz w:val="23"/>
        </w:rPr>
      </w:pPr>
      <w:r>
        <w:rPr>
          <w:b/>
          <w:sz w:val="23"/>
        </w:rPr>
        <w:t>RESOLUÇÃO ANVISA RDC 306/04 33/03 </w:t>
      </w:r>
      <w:r>
        <w:rPr>
          <w:sz w:val="23"/>
        </w:rPr>
        <w:t>– Dispõe sobre o regulamento técnico para o gerenciamento de resíduos dos serviços de saúde.</w:t>
      </w:r>
    </w:p>
    <w:p>
      <w:pPr>
        <w:spacing w:after="0" w:line="367" w:lineRule="auto"/>
        <w:jc w:val="both"/>
        <w:rPr>
          <w:sz w:val="23"/>
        </w:rPr>
        <w:sectPr>
          <w:pgSz w:w="11900" w:h="16840"/>
          <w:pgMar w:top="1600" w:bottom="280" w:left="58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4"/>
        </w:rPr>
      </w:pPr>
    </w:p>
    <w:p>
      <w:pPr>
        <w:pStyle w:val="BodyText"/>
        <w:spacing w:line="367" w:lineRule="auto" w:before="103"/>
        <w:ind w:left="163"/>
      </w:pPr>
      <w:r>
        <w:rPr>
          <w:b/>
        </w:rPr>
        <w:t>NBR 10.004/87 </w:t>
      </w:r>
      <w:r>
        <w:rPr/>
        <w:t>– Classifica os resíduos sólidos quanto aos seus riscos potenciais ao meio ambiente e à sua saúde.</w:t>
      </w:r>
    </w:p>
    <w:p>
      <w:pPr>
        <w:pStyle w:val="BodyText"/>
        <w:spacing w:before="9"/>
        <w:rPr>
          <w:sz w:val="34"/>
        </w:rPr>
      </w:pPr>
    </w:p>
    <w:p>
      <w:pPr>
        <w:pStyle w:val="BodyText"/>
        <w:spacing w:line="367" w:lineRule="auto"/>
        <w:ind w:left="163" w:right="373"/>
      </w:pPr>
      <w:r>
        <w:rPr>
          <w:b/>
        </w:rPr>
        <w:t>NBR 7.500/87 </w:t>
      </w:r>
      <w:r>
        <w:rPr/>
        <w:t>– Símbolos de risco e manuseio para o transporte e armazenamento  de  resíduos</w:t>
      </w:r>
      <w:r>
        <w:rPr>
          <w:spacing w:val="1"/>
        </w:rPr>
        <w:t> </w:t>
      </w:r>
      <w:r>
        <w:rPr/>
        <w:t>sólidos.</w:t>
      </w:r>
    </w:p>
    <w:p>
      <w:pPr>
        <w:pStyle w:val="BodyText"/>
        <w:spacing w:before="9"/>
        <w:rPr>
          <w:sz w:val="34"/>
        </w:rPr>
      </w:pPr>
    </w:p>
    <w:p>
      <w:pPr>
        <w:pStyle w:val="BodyText"/>
        <w:spacing w:line="364" w:lineRule="auto" w:before="1"/>
        <w:ind w:left="163"/>
      </w:pPr>
      <w:r>
        <w:rPr>
          <w:b/>
        </w:rPr>
        <w:t>NBR 12.235/92 </w:t>
      </w:r>
      <w:r>
        <w:rPr/>
        <w:t>– Armazenamento de resíduos sólidos perigosos definidos na NBR 10004 – procedimentos</w:t>
      </w:r>
    </w:p>
    <w:p>
      <w:pPr>
        <w:pStyle w:val="BodyText"/>
        <w:rPr>
          <w:sz w:val="35"/>
        </w:rPr>
      </w:pPr>
    </w:p>
    <w:p>
      <w:pPr>
        <w:spacing w:before="0"/>
        <w:ind w:left="163" w:right="0" w:firstLine="0"/>
        <w:jc w:val="left"/>
        <w:rPr>
          <w:sz w:val="23"/>
        </w:rPr>
      </w:pPr>
      <w:r>
        <w:rPr>
          <w:b/>
          <w:sz w:val="23"/>
        </w:rPr>
        <w:t>NBR 12807/93 </w:t>
      </w:r>
      <w:r>
        <w:rPr>
          <w:sz w:val="23"/>
        </w:rPr>
        <w:t>– Resíduos de serviços de saúde – terminologia.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1"/>
        </w:rPr>
      </w:pPr>
    </w:p>
    <w:p>
      <w:pPr>
        <w:spacing w:before="0"/>
        <w:ind w:left="163" w:right="0" w:firstLine="0"/>
        <w:jc w:val="left"/>
        <w:rPr>
          <w:sz w:val="23"/>
        </w:rPr>
      </w:pPr>
      <w:r>
        <w:rPr>
          <w:b/>
          <w:sz w:val="23"/>
        </w:rPr>
        <w:t>NBR 12808/93 </w:t>
      </w:r>
      <w:r>
        <w:rPr>
          <w:sz w:val="23"/>
        </w:rPr>
        <w:t>– Resíduos de serviços de saúde – classificação.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BodyText"/>
        <w:ind w:left="163"/>
      </w:pPr>
      <w:r>
        <w:rPr>
          <w:b/>
        </w:rPr>
        <w:t>NBR 12809/93 </w:t>
      </w:r>
      <w:r>
        <w:rPr/>
        <w:t>– Manuseio de resíduos de serviços de saúde – procedimentos.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0"/>
        </w:rPr>
      </w:pPr>
    </w:p>
    <w:p>
      <w:pPr>
        <w:pStyle w:val="BodyText"/>
        <w:ind w:left="163"/>
      </w:pPr>
      <w:r>
        <w:rPr>
          <w:b/>
        </w:rPr>
        <w:t>NBR 12810/93 </w:t>
      </w:r>
      <w:r>
        <w:rPr/>
        <w:t>– Coleta de resíduos de serviços de saúde – procedimentos.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369" w:lineRule="auto"/>
        <w:ind w:left="164" w:right="373" w:hanging="1"/>
      </w:pPr>
      <w:r>
        <w:rPr>
          <w:b/>
        </w:rPr>
        <w:t>NBR 12890/93 </w:t>
      </w:r>
      <w:r>
        <w:rPr/>
        <w:t>– Coleta, varrição e acondicionamento de resíduos sólidos urbanos terminologia.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line="367" w:lineRule="auto"/>
        <w:ind w:left="164" w:right="373"/>
      </w:pPr>
      <w:r>
        <w:rPr>
          <w:b/>
        </w:rPr>
        <w:t>NBR 11.175/90 </w:t>
      </w:r>
      <w:r>
        <w:rPr/>
        <w:t>– Fixa as condições exigíveis de desempenho do equipamento  para  incineração de resíduos sólidos</w:t>
      </w:r>
      <w:r>
        <w:rPr>
          <w:spacing w:val="3"/>
        </w:rPr>
        <w:t> </w:t>
      </w:r>
      <w:r>
        <w:rPr/>
        <w:t>perigosos.</w:t>
      </w:r>
    </w:p>
    <w:p>
      <w:pPr>
        <w:pStyle w:val="BodyText"/>
        <w:spacing w:before="10"/>
        <w:rPr>
          <w:sz w:val="34"/>
        </w:rPr>
      </w:pPr>
    </w:p>
    <w:p>
      <w:pPr>
        <w:pStyle w:val="BodyText"/>
        <w:spacing w:line="367" w:lineRule="auto"/>
        <w:ind w:left="163"/>
      </w:pPr>
      <w:r>
        <w:rPr>
          <w:b/>
        </w:rPr>
        <w:t>NBR 13.853/97 </w:t>
      </w:r>
      <w:r>
        <w:rPr/>
        <w:t>– Coletores para resíduos de seviços de saúde perfurantes ou cortantes – requisitos e métodos de ensaio.</w:t>
      </w:r>
    </w:p>
    <w:p>
      <w:pPr>
        <w:pStyle w:val="BodyText"/>
        <w:spacing w:before="9"/>
        <w:rPr>
          <w:sz w:val="34"/>
        </w:rPr>
      </w:pPr>
    </w:p>
    <w:p>
      <w:pPr>
        <w:spacing w:before="0"/>
        <w:ind w:left="163" w:right="0" w:firstLine="0"/>
        <w:jc w:val="left"/>
        <w:rPr>
          <w:sz w:val="23"/>
        </w:rPr>
      </w:pPr>
      <w:r>
        <w:rPr>
          <w:b/>
          <w:sz w:val="23"/>
        </w:rPr>
        <w:t>CNEN – NE 6.05/98 </w:t>
      </w:r>
      <w:r>
        <w:rPr>
          <w:sz w:val="23"/>
        </w:rPr>
        <w:t>gerência dos rejeitos radioativos</w:t>
      </w:r>
    </w:p>
    <w:p>
      <w:pPr>
        <w:spacing w:after="0"/>
        <w:jc w:val="left"/>
        <w:rPr>
          <w:sz w:val="23"/>
        </w:rPr>
        <w:sectPr>
          <w:pgSz w:w="11900" w:h="16840"/>
          <w:pgMar w:top="1600" w:bottom="280" w:left="58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4"/>
        </w:rPr>
      </w:pPr>
    </w:p>
    <w:p>
      <w:pPr>
        <w:pStyle w:val="Heading1"/>
        <w:numPr>
          <w:ilvl w:val="0"/>
          <w:numId w:val="1"/>
        </w:numPr>
        <w:tabs>
          <w:tab w:pos="551" w:val="left" w:leader="none"/>
        </w:tabs>
        <w:spacing w:line="240" w:lineRule="auto" w:before="103" w:after="0"/>
        <w:ind w:left="550" w:right="0" w:hanging="388"/>
        <w:jc w:val="left"/>
      </w:pPr>
      <w:r>
        <w:rPr>
          <w:color w:val="007F00"/>
        </w:rPr>
        <w:t>CONSIDERAÇÕES</w:t>
      </w:r>
      <w:r>
        <w:rPr>
          <w:color w:val="007F00"/>
          <w:spacing w:val="3"/>
        </w:rPr>
        <w:t> </w:t>
      </w:r>
      <w:r>
        <w:rPr>
          <w:color w:val="007F00"/>
        </w:rPr>
        <w:t>FINAIS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21"/>
        </w:rPr>
      </w:pPr>
    </w:p>
    <w:p>
      <w:pPr>
        <w:pStyle w:val="BodyText"/>
        <w:spacing w:line="364" w:lineRule="auto"/>
        <w:ind w:left="163"/>
      </w:pPr>
      <w:r>
        <w:rPr/>
        <w:t>Este estabelecimento se compromete a seguir as disposições e implantar as medidas contidas neste plano.</w:t>
      </w:r>
    </w:p>
    <w:p>
      <w:pPr>
        <w:pStyle w:val="BodyText"/>
        <w:rPr>
          <w:sz w:val="35"/>
        </w:rPr>
      </w:pPr>
    </w:p>
    <w:p>
      <w:pPr>
        <w:pStyle w:val="BodyText"/>
        <w:tabs>
          <w:tab w:pos="4423" w:val="left" w:leader="none"/>
          <w:tab w:pos="5503" w:val="left" w:leader="none"/>
          <w:tab w:pos="8359" w:val="left" w:leader="none"/>
          <w:tab w:pos="9655" w:val="left" w:leader="none"/>
        </w:tabs>
        <w:spacing w:before="1"/>
        <w:ind w:left="163"/>
      </w:pPr>
      <w:r>
        <w:rPr/>
        <w:t>Local:</w:t>
      </w:r>
      <w:r>
        <w:rPr>
          <w:u w:val="single"/>
        </w:rPr>
        <w:t> </w:t>
        <w:tab/>
      </w:r>
      <w:r>
        <w:rPr/>
        <w:t>Data:</w:t>
      </w:r>
      <w:r>
        <w:rPr>
          <w:u w:val="single"/>
        </w:rPr>
        <w:t> </w:t>
        <w:tab/>
      </w:r>
      <w:r>
        <w:rPr/>
        <w:t>de</w:t>
      </w:r>
      <w:r>
        <w:rPr>
          <w:u w:val="single"/>
        </w:rPr>
        <w:t> </w:t>
        <w:tab/>
      </w:r>
      <w:r>
        <w:rPr/>
        <w:t>de_</w:t>
      </w:r>
      <w:r>
        <w:rPr>
          <w:u w:val="single"/>
        </w:rPr>
        <w:t> </w:t>
        <w:tab/>
      </w:r>
      <w:r>
        <w:rPr/>
        <w:t>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15"/>
        </w:rPr>
      </w:pPr>
      <w:r>
        <w:rPr/>
        <w:pict>
          <v:group style="position:absolute;margin-left:324.359039pt;margin-top:10.673692pt;width:207.85pt;height:.6pt;mso-position-horizontal-relative:page;mso-position-vertical-relative:paragraph;z-index:-251654144;mso-wrap-distance-left:0;mso-wrap-distance-right:0" coordorigin="6487,213" coordsize="4157,12">
            <v:line style="position:absolute" from="6487,219" to="7135,219" stroked="true" strokeweight=".583660pt" strokecolor="#000000">
              <v:stroke dashstyle="solid"/>
            </v:line>
            <v:line style="position:absolute" from="7138,219" to="7395,219" stroked="true" strokeweight=".583660pt" strokecolor="#000000">
              <v:stroke dashstyle="solid"/>
            </v:line>
            <v:line style="position:absolute" from="7397,219" to="8175,219" stroked="true" strokeweight=".583660pt" strokecolor="#000000">
              <v:stroke dashstyle="solid"/>
            </v:line>
            <v:line style="position:absolute" from="8177,219" to="8434,219" stroked="true" strokeweight=".583660pt" strokecolor="#000000">
              <v:stroke dashstyle="solid"/>
            </v:line>
            <v:line style="position:absolute" from="8436,219" to="9473,219" stroked="true" strokeweight=".583660pt" strokecolor="#000000">
              <v:stroke dashstyle="solid"/>
            </v:line>
            <v:line style="position:absolute" from="9475,219" to="9732,219" stroked="true" strokeweight=".583660pt" strokecolor="#000000">
              <v:stroke dashstyle="solid"/>
            </v:line>
            <v:line style="position:absolute" from="9734,219" to="10383,219" stroked="true" strokeweight=".583660pt" strokecolor="#000000">
              <v:stroke dashstyle="solid"/>
            </v:line>
            <v:line style="position:absolute" from="10385,219" to="10644,219" stroked="true" strokeweight=".583660pt" strokecolor="#000000">
              <v:stroke dashstyle="solid"/>
            </v:line>
            <w10:wrap type="topAndBottom"/>
          </v:group>
        </w:pict>
      </w:r>
    </w:p>
    <w:p>
      <w:pPr>
        <w:spacing w:line="369" w:lineRule="auto" w:before="118"/>
        <w:ind w:left="6718" w:right="0" w:hanging="274"/>
        <w:jc w:val="left"/>
        <w:rPr>
          <w:sz w:val="19"/>
        </w:rPr>
      </w:pPr>
      <w:r>
        <w:rPr>
          <w:sz w:val="19"/>
        </w:rPr>
        <w:t>Assinatura do Responsável pelo Estabelecimento Gerador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7"/>
        </w:rPr>
      </w:pPr>
      <w:r>
        <w:rPr/>
        <w:pict>
          <v:group style="position:absolute;margin-left:321.000275pt;margin-top:17.874949pt;width:194.8pt;height:.6pt;mso-position-horizontal-relative:page;mso-position-vertical-relative:paragraph;z-index:-251653120;mso-wrap-distance-left:0;mso-wrap-distance-right:0" coordorigin="6420,357" coordsize="3896,12">
            <v:line style="position:absolute" from="6420,363" to="6677,363" stroked="true" strokeweight=".583660pt" strokecolor="#000000">
              <v:stroke dashstyle="solid"/>
            </v:line>
            <v:line style="position:absolute" from="6679,363" to="6936,363" stroked="true" strokeweight=".583660pt" strokecolor="#000000">
              <v:stroke dashstyle="solid"/>
            </v:line>
            <v:line style="position:absolute" from="6938,363" to="7457,363" stroked="true" strokeweight=".583660pt" strokecolor="#000000">
              <v:stroke dashstyle="solid"/>
            </v:line>
            <v:line style="position:absolute" from="7459,363" to="7716,363" stroked="true" strokeweight=".583660pt" strokecolor="#000000">
              <v:stroke dashstyle="solid"/>
            </v:line>
            <v:line style="position:absolute" from="7718,363" to="7975,363" stroked="true" strokeweight=".583660pt" strokecolor="#000000">
              <v:stroke dashstyle="solid"/>
            </v:line>
            <v:line style="position:absolute" from="7978,363" to="8367,363" stroked="true" strokeweight=".583660pt" strokecolor="#000000">
              <v:stroke dashstyle="solid"/>
            </v:line>
            <v:line style="position:absolute" from="8369,363" to="9406,363" stroked="true" strokeweight=".583660pt" strokecolor="#000000">
              <v:stroke dashstyle="solid"/>
            </v:line>
            <v:line style="position:absolute" from="9408,363" to="9665,363" stroked="true" strokeweight=".583660pt" strokecolor="#000000">
              <v:stroke dashstyle="solid"/>
            </v:line>
            <v:line style="position:absolute" from="9667,363" to="10315,363" stroked="true" strokeweight=".583660pt" strokecolor="#000000">
              <v:stroke dashstyle="solid"/>
            </v:line>
            <w10:wrap type="topAndBottom"/>
          </v:group>
        </w:pict>
      </w:r>
    </w:p>
    <w:p>
      <w:pPr>
        <w:spacing w:line="369" w:lineRule="auto" w:before="118"/>
        <w:ind w:left="6504" w:right="646" w:hanging="281"/>
        <w:jc w:val="left"/>
        <w:rPr>
          <w:sz w:val="19"/>
        </w:rPr>
      </w:pPr>
      <w:r>
        <w:rPr>
          <w:sz w:val="19"/>
        </w:rPr>
        <w:t>Assinatura do Responsável Técnico pelo Plano de Gerenciamento</w:t>
      </w:r>
    </w:p>
    <w:p>
      <w:pPr>
        <w:pStyle w:val="BodyText"/>
        <w:spacing w:before="6"/>
        <w:rPr>
          <w:sz w:val="28"/>
        </w:rPr>
      </w:pPr>
    </w:p>
    <w:p>
      <w:pPr>
        <w:spacing w:before="0"/>
        <w:ind w:left="163" w:right="0" w:firstLine="0"/>
        <w:jc w:val="left"/>
        <w:rPr>
          <w:b/>
          <w:sz w:val="19"/>
        </w:rPr>
      </w:pPr>
      <w:r>
        <w:rPr>
          <w:b/>
          <w:sz w:val="19"/>
        </w:rPr>
        <w:t>CONAMA 358/05</w:t>
      </w:r>
    </w:p>
    <w:p>
      <w:pPr>
        <w:spacing w:line="372" w:lineRule="auto" w:before="118"/>
        <w:ind w:left="163" w:right="373" w:firstLine="0"/>
        <w:jc w:val="left"/>
        <w:rPr>
          <w:sz w:val="19"/>
        </w:rPr>
      </w:pPr>
      <w:r>
        <w:rPr>
          <w:b/>
          <w:sz w:val="19"/>
        </w:rPr>
        <w:t>Art. 5</w:t>
      </w:r>
      <w:r>
        <w:rPr>
          <w:sz w:val="19"/>
        </w:rPr>
        <w:t>º - O PGRSS deverá ser elaborado por profissional de nível superior, habilitado pelo seu conselho de classe, com Anotação de Responsabilidade Técnica – ART, Certificado de Responsabilidade Técnica ou documento   similar, quando</w:t>
      </w:r>
      <w:r>
        <w:rPr>
          <w:spacing w:val="8"/>
          <w:sz w:val="19"/>
        </w:rPr>
        <w:t> </w:t>
      </w:r>
      <w:r>
        <w:rPr>
          <w:sz w:val="19"/>
        </w:rPr>
        <w:t>couber.</w:t>
      </w:r>
    </w:p>
    <w:p>
      <w:pPr>
        <w:spacing w:line="259" w:lineRule="auto" w:before="4"/>
        <w:ind w:left="163" w:right="0" w:firstLine="0"/>
        <w:jc w:val="left"/>
        <w:rPr>
          <w:sz w:val="19"/>
        </w:rPr>
      </w:pPr>
      <w:r>
        <w:rPr>
          <w:sz w:val="19"/>
        </w:rPr>
        <w:t>O Responsável Técnico dos serviços de </w:t>
      </w:r>
      <w:r>
        <w:rPr>
          <w:b/>
          <w:sz w:val="19"/>
        </w:rPr>
        <w:t>atendimento individualizado </w:t>
      </w:r>
      <w:r>
        <w:rPr>
          <w:sz w:val="19"/>
        </w:rPr>
        <w:t>pode ser o responsável pela elaboração e implantação do PGRSS.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Heading1"/>
        <w:spacing w:before="130"/>
      </w:pPr>
      <w:r>
        <w:rPr/>
        <w:t>maiores informações: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1"/>
        <w:rPr>
          <w:b/>
          <w:sz w:val="21"/>
        </w:rPr>
      </w:pPr>
    </w:p>
    <w:p>
      <w:pPr>
        <w:spacing w:before="1"/>
        <w:ind w:left="163" w:right="0" w:firstLine="0"/>
        <w:jc w:val="left"/>
        <w:rPr>
          <w:b/>
          <w:sz w:val="23"/>
        </w:rPr>
      </w:pPr>
      <w:r>
        <w:rPr>
          <w:b/>
          <w:color w:val="0000FF"/>
          <w:sz w:val="23"/>
        </w:rPr>
        <w:t>e-mail: </w:t>
      </w:r>
      <w:hyperlink r:id="rId5">
        <w:r>
          <w:rPr>
            <w:b/>
            <w:color w:val="0000FF"/>
            <w:sz w:val="23"/>
          </w:rPr>
          <w:t>desperdiciozero@sema.pr.gov.br</w:t>
        </w:r>
      </w:hyperlink>
    </w:p>
    <w:sectPr>
      <w:pgSz w:w="11900" w:h="16840"/>
      <w:pgMar w:top="1600" w:bottom="280" w:left="580" w:right="10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multiLevelType w:val="hybridMultilevel"/>
    <w:lvl w:ilvl="0">
      <w:start w:val="1"/>
      <w:numFmt w:val="decimal"/>
      <w:lvlText w:val="%1)"/>
      <w:lvlJc w:val="left"/>
      <w:pPr>
        <w:ind w:left="514" w:hanging="351"/>
        <w:jc w:val="left"/>
      </w:pPr>
      <w:rPr>
        <w:rFonts w:hint="default" w:ascii="Arial" w:hAnsi="Arial" w:eastAsia="Arial" w:cs="Arial"/>
        <w:spacing w:val="-3"/>
        <w:w w:val="101"/>
        <w:sz w:val="23"/>
        <w:szCs w:val="23"/>
        <w:lang w:val="pt-PT" w:eastAsia="pt-PT" w:bidi="pt-PT"/>
      </w:rPr>
    </w:lvl>
    <w:lvl w:ilvl="1">
      <w:start w:val="0"/>
      <w:numFmt w:val="bullet"/>
      <w:lvlText w:val="•"/>
      <w:lvlJc w:val="left"/>
      <w:pPr>
        <w:ind w:left="1492" w:hanging="351"/>
      </w:pPr>
      <w:rPr>
        <w:rFonts w:hint="default"/>
        <w:lang w:val="pt-PT" w:eastAsia="pt-PT" w:bidi="pt-PT"/>
      </w:rPr>
    </w:lvl>
    <w:lvl w:ilvl="2">
      <w:start w:val="0"/>
      <w:numFmt w:val="bullet"/>
      <w:lvlText w:val="•"/>
      <w:lvlJc w:val="left"/>
      <w:pPr>
        <w:ind w:left="2464" w:hanging="351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436" w:hanging="351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4408" w:hanging="351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5380" w:hanging="351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6352" w:hanging="351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7324" w:hanging="351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8296" w:hanging="351"/>
      </w:pPr>
      <w:rPr>
        <w:rFonts w:hint="default"/>
        <w:lang w:val="pt-PT" w:eastAsia="pt-PT" w:bidi="pt-PT"/>
      </w:rPr>
    </w:lvl>
  </w:abstractNum>
  <w:abstractNum w:abstractNumId="4">
    <w:multiLevelType w:val="hybridMultilevel"/>
    <w:lvl w:ilvl="0">
      <w:start w:val="1"/>
      <w:numFmt w:val="decimal"/>
      <w:lvlText w:val="%1)"/>
      <w:lvlJc w:val="left"/>
      <w:pPr>
        <w:ind w:left="432" w:hanging="269"/>
        <w:jc w:val="left"/>
      </w:pPr>
      <w:rPr>
        <w:rFonts w:hint="default" w:ascii="Arial" w:hAnsi="Arial" w:eastAsia="Arial" w:cs="Arial"/>
        <w:spacing w:val="-3"/>
        <w:w w:val="101"/>
        <w:sz w:val="23"/>
        <w:szCs w:val="23"/>
        <w:lang w:val="pt-PT" w:eastAsia="pt-PT" w:bidi="pt-PT"/>
      </w:rPr>
    </w:lvl>
    <w:lvl w:ilvl="1">
      <w:start w:val="0"/>
      <w:numFmt w:val="bullet"/>
      <w:lvlText w:val="•"/>
      <w:lvlJc w:val="left"/>
      <w:pPr>
        <w:ind w:left="1420" w:hanging="269"/>
      </w:pPr>
      <w:rPr>
        <w:rFonts w:hint="default"/>
        <w:lang w:val="pt-PT" w:eastAsia="pt-PT" w:bidi="pt-PT"/>
      </w:rPr>
    </w:lvl>
    <w:lvl w:ilvl="2">
      <w:start w:val="0"/>
      <w:numFmt w:val="bullet"/>
      <w:lvlText w:val="•"/>
      <w:lvlJc w:val="left"/>
      <w:pPr>
        <w:ind w:left="2400" w:hanging="269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380" w:hanging="269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4360" w:hanging="269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5340" w:hanging="269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6320" w:hanging="269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7300" w:hanging="269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8280" w:hanging="269"/>
      </w:pPr>
      <w:rPr>
        <w:rFonts w:hint="default"/>
        <w:lang w:val="pt-PT" w:eastAsia="pt-PT" w:bidi="pt-PT"/>
      </w:rPr>
    </w:lvl>
  </w:abstractNum>
  <w:abstractNum w:abstractNumId="3">
    <w:multiLevelType w:val="hybridMultilevel"/>
    <w:lvl w:ilvl="0">
      <w:start w:val="1"/>
      <w:numFmt w:val="decimal"/>
      <w:lvlText w:val="%1)"/>
      <w:lvlJc w:val="left"/>
      <w:pPr>
        <w:ind w:left="164" w:hanging="293"/>
        <w:jc w:val="left"/>
      </w:pPr>
      <w:rPr>
        <w:rFonts w:hint="default" w:ascii="Arial" w:hAnsi="Arial" w:eastAsia="Arial" w:cs="Arial"/>
        <w:spacing w:val="-3"/>
        <w:w w:val="101"/>
        <w:sz w:val="23"/>
        <w:szCs w:val="23"/>
        <w:lang w:val="pt-PT" w:eastAsia="pt-PT" w:bidi="pt-PT"/>
      </w:rPr>
    </w:lvl>
    <w:lvl w:ilvl="1">
      <w:start w:val="0"/>
      <w:numFmt w:val="bullet"/>
      <w:lvlText w:val="•"/>
      <w:lvlJc w:val="left"/>
      <w:pPr>
        <w:ind w:left="1168" w:hanging="293"/>
      </w:pPr>
      <w:rPr>
        <w:rFonts w:hint="default"/>
        <w:lang w:val="pt-PT" w:eastAsia="pt-PT" w:bidi="pt-PT"/>
      </w:rPr>
    </w:lvl>
    <w:lvl w:ilvl="2">
      <w:start w:val="0"/>
      <w:numFmt w:val="bullet"/>
      <w:lvlText w:val="•"/>
      <w:lvlJc w:val="left"/>
      <w:pPr>
        <w:ind w:left="2176" w:hanging="293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184" w:hanging="293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4192" w:hanging="293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5200" w:hanging="293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6208" w:hanging="293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7216" w:hanging="293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8224" w:hanging="293"/>
      </w:pPr>
      <w:rPr>
        <w:rFonts w:hint="default"/>
        <w:lang w:val="pt-PT" w:eastAsia="pt-PT" w:bidi="pt-PT"/>
      </w:rPr>
    </w:lvl>
  </w:abstractNum>
  <w:abstractNum w:abstractNumId="2">
    <w:multiLevelType w:val="hybridMultilevel"/>
    <w:lvl w:ilvl="0">
      <w:start w:val="1"/>
      <w:numFmt w:val="decimal"/>
      <w:lvlText w:val="%1)"/>
      <w:lvlJc w:val="left"/>
      <w:pPr>
        <w:ind w:left="689" w:hanging="360"/>
        <w:jc w:val="left"/>
      </w:pPr>
      <w:rPr>
        <w:rFonts w:hint="default" w:ascii="Arial" w:hAnsi="Arial" w:eastAsia="Arial" w:cs="Arial"/>
        <w:spacing w:val="-3"/>
        <w:w w:val="101"/>
        <w:sz w:val="23"/>
        <w:szCs w:val="23"/>
        <w:lang w:val="pt-PT" w:eastAsia="pt-PT" w:bidi="pt-PT"/>
      </w:rPr>
    </w:lvl>
    <w:lvl w:ilvl="1">
      <w:start w:val="0"/>
      <w:numFmt w:val="bullet"/>
      <w:lvlText w:val="•"/>
      <w:lvlJc w:val="left"/>
      <w:pPr>
        <w:ind w:left="1636" w:hanging="360"/>
      </w:pPr>
      <w:rPr>
        <w:rFonts w:hint="default"/>
        <w:lang w:val="pt-PT" w:eastAsia="pt-PT" w:bidi="pt-PT"/>
      </w:rPr>
    </w:lvl>
    <w:lvl w:ilvl="2">
      <w:start w:val="0"/>
      <w:numFmt w:val="bullet"/>
      <w:lvlText w:val="•"/>
      <w:lvlJc w:val="left"/>
      <w:pPr>
        <w:ind w:left="2592" w:hanging="360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548" w:hanging="360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4504" w:hanging="360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5460" w:hanging="360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6416" w:hanging="360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7372" w:hanging="360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8328" w:hanging="360"/>
      </w:pPr>
      <w:rPr>
        <w:rFonts w:hint="default"/>
        <w:lang w:val="pt-PT" w:eastAsia="pt-PT" w:bidi="pt-PT"/>
      </w:rPr>
    </w:lvl>
  </w:abstractNum>
  <w:abstractNum w:abstractNumId="1">
    <w:multiLevelType w:val="hybridMultilevel"/>
    <w:lvl w:ilvl="0">
      <w:start w:val="1"/>
      <w:numFmt w:val="decimal"/>
      <w:lvlText w:val="%1)"/>
      <w:lvlJc w:val="left"/>
      <w:pPr>
        <w:ind w:left="689" w:hanging="351"/>
        <w:jc w:val="left"/>
      </w:pPr>
      <w:rPr>
        <w:rFonts w:hint="default" w:ascii="Arial" w:hAnsi="Arial" w:eastAsia="Arial" w:cs="Arial"/>
        <w:spacing w:val="-3"/>
        <w:w w:val="101"/>
        <w:sz w:val="23"/>
        <w:szCs w:val="23"/>
        <w:lang w:val="pt-PT" w:eastAsia="pt-PT" w:bidi="pt-PT"/>
      </w:rPr>
    </w:lvl>
    <w:lvl w:ilvl="1">
      <w:start w:val="0"/>
      <w:numFmt w:val="bullet"/>
      <w:lvlText w:val="•"/>
      <w:lvlJc w:val="left"/>
      <w:pPr>
        <w:ind w:left="1636" w:hanging="351"/>
      </w:pPr>
      <w:rPr>
        <w:rFonts w:hint="default"/>
        <w:lang w:val="pt-PT" w:eastAsia="pt-PT" w:bidi="pt-PT"/>
      </w:rPr>
    </w:lvl>
    <w:lvl w:ilvl="2">
      <w:start w:val="0"/>
      <w:numFmt w:val="bullet"/>
      <w:lvlText w:val="•"/>
      <w:lvlJc w:val="left"/>
      <w:pPr>
        <w:ind w:left="2592" w:hanging="351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3548" w:hanging="351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4504" w:hanging="351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5460" w:hanging="351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6416" w:hanging="351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7372" w:hanging="351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8328" w:hanging="351"/>
      </w:pPr>
      <w:rPr>
        <w:rFonts w:hint="default"/>
        <w:lang w:val="pt-PT" w:eastAsia="pt-PT" w:bidi="pt-PT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423" w:hanging="260"/>
        <w:jc w:val="right"/>
      </w:pPr>
      <w:rPr>
        <w:rFonts w:hint="default" w:ascii="Arial" w:hAnsi="Arial" w:eastAsia="Arial" w:cs="Arial"/>
        <w:b/>
        <w:bCs/>
        <w:color w:val="007F00"/>
        <w:spacing w:val="-3"/>
        <w:w w:val="101"/>
        <w:sz w:val="23"/>
        <w:szCs w:val="23"/>
        <w:lang w:val="pt-PT" w:eastAsia="pt-PT" w:bidi="pt-PT"/>
      </w:rPr>
    </w:lvl>
    <w:lvl w:ilvl="1">
      <w:start w:val="1"/>
      <w:numFmt w:val="decimal"/>
      <w:lvlText w:val="%2)"/>
      <w:lvlJc w:val="left"/>
      <w:pPr>
        <w:ind w:left="1040" w:hanging="351"/>
        <w:jc w:val="left"/>
      </w:pPr>
      <w:rPr>
        <w:rFonts w:hint="default" w:ascii="Arial" w:hAnsi="Arial" w:eastAsia="Arial" w:cs="Arial"/>
        <w:spacing w:val="-3"/>
        <w:w w:val="101"/>
        <w:sz w:val="23"/>
        <w:szCs w:val="23"/>
        <w:lang w:val="pt-PT" w:eastAsia="pt-PT" w:bidi="pt-PT"/>
      </w:rPr>
    </w:lvl>
    <w:lvl w:ilvl="2">
      <w:start w:val="0"/>
      <w:numFmt w:val="bullet"/>
      <w:lvlText w:val="•"/>
      <w:lvlJc w:val="left"/>
      <w:pPr>
        <w:ind w:left="1400" w:hanging="351"/>
      </w:pPr>
      <w:rPr>
        <w:rFonts w:hint="default"/>
        <w:lang w:val="pt-PT" w:eastAsia="pt-PT" w:bidi="pt-PT"/>
      </w:rPr>
    </w:lvl>
    <w:lvl w:ilvl="3">
      <w:start w:val="0"/>
      <w:numFmt w:val="bullet"/>
      <w:lvlText w:val="•"/>
      <w:lvlJc w:val="left"/>
      <w:pPr>
        <w:ind w:left="2505" w:hanging="351"/>
      </w:pPr>
      <w:rPr>
        <w:rFonts w:hint="default"/>
        <w:lang w:val="pt-PT" w:eastAsia="pt-PT" w:bidi="pt-PT"/>
      </w:rPr>
    </w:lvl>
    <w:lvl w:ilvl="4">
      <w:start w:val="0"/>
      <w:numFmt w:val="bullet"/>
      <w:lvlText w:val="•"/>
      <w:lvlJc w:val="left"/>
      <w:pPr>
        <w:ind w:left="3610" w:hanging="351"/>
      </w:pPr>
      <w:rPr>
        <w:rFonts w:hint="default"/>
        <w:lang w:val="pt-PT" w:eastAsia="pt-PT" w:bidi="pt-PT"/>
      </w:rPr>
    </w:lvl>
    <w:lvl w:ilvl="5">
      <w:start w:val="0"/>
      <w:numFmt w:val="bullet"/>
      <w:lvlText w:val="•"/>
      <w:lvlJc w:val="left"/>
      <w:pPr>
        <w:ind w:left="4715" w:hanging="351"/>
      </w:pPr>
      <w:rPr>
        <w:rFonts w:hint="default"/>
        <w:lang w:val="pt-PT" w:eastAsia="pt-PT" w:bidi="pt-PT"/>
      </w:rPr>
    </w:lvl>
    <w:lvl w:ilvl="6">
      <w:start w:val="0"/>
      <w:numFmt w:val="bullet"/>
      <w:lvlText w:val="•"/>
      <w:lvlJc w:val="left"/>
      <w:pPr>
        <w:ind w:left="5820" w:hanging="351"/>
      </w:pPr>
      <w:rPr>
        <w:rFonts w:hint="default"/>
        <w:lang w:val="pt-PT" w:eastAsia="pt-PT" w:bidi="pt-PT"/>
      </w:rPr>
    </w:lvl>
    <w:lvl w:ilvl="7">
      <w:start w:val="0"/>
      <w:numFmt w:val="bullet"/>
      <w:lvlText w:val="•"/>
      <w:lvlJc w:val="left"/>
      <w:pPr>
        <w:ind w:left="6925" w:hanging="351"/>
      </w:pPr>
      <w:rPr>
        <w:rFonts w:hint="default"/>
        <w:lang w:val="pt-PT" w:eastAsia="pt-PT" w:bidi="pt-PT"/>
      </w:rPr>
    </w:lvl>
    <w:lvl w:ilvl="8">
      <w:start w:val="0"/>
      <w:numFmt w:val="bullet"/>
      <w:lvlText w:val="•"/>
      <w:lvlJc w:val="left"/>
      <w:pPr>
        <w:ind w:left="8030" w:hanging="351"/>
      </w:pPr>
      <w:rPr>
        <w:rFonts w:hint="default"/>
        <w:lang w:val="pt-PT" w:eastAsia="pt-PT" w:bidi="pt-PT"/>
      </w:rPr>
    </w:lvl>
  </w:abstract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t-PT" w:eastAsia="pt-PT" w:bidi="pt-PT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3"/>
      <w:szCs w:val="23"/>
      <w:lang w:val="pt-PT" w:eastAsia="pt-PT" w:bidi="pt-PT"/>
    </w:rPr>
  </w:style>
  <w:style w:styleId="Heading1" w:type="paragraph">
    <w:name w:val="Heading 1"/>
    <w:basedOn w:val="Normal"/>
    <w:uiPriority w:val="1"/>
    <w:qFormat/>
    <w:pPr>
      <w:ind w:left="163"/>
      <w:outlineLvl w:val="1"/>
    </w:pPr>
    <w:rPr>
      <w:rFonts w:ascii="Arial" w:hAnsi="Arial" w:eastAsia="Arial" w:cs="Arial"/>
      <w:b/>
      <w:bCs/>
      <w:sz w:val="23"/>
      <w:szCs w:val="23"/>
      <w:lang w:val="pt-PT" w:eastAsia="pt-PT" w:bidi="pt-PT"/>
    </w:rPr>
  </w:style>
  <w:style w:styleId="ListParagraph" w:type="paragraph">
    <w:name w:val="List Paragraph"/>
    <w:basedOn w:val="Normal"/>
    <w:uiPriority w:val="1"/>
    <w:qFormat/>
    <w:pPr>
      <w:ind w:left="163"/>
    </w:pPr>
    <w:rPr>
      <w:rFonts w:ascii="Arial" w:hAnsi="Arial" w:eastAsia="Arial" w:cs="Arial"/>
      <w:lang w:val="pt-PT" w:eastAsia="pt-PT" w:bidi="pt-PT"/>
    </w:rPr>
  </w:style>
  <w:style w:styleId="TableParagraph" w:type="paragraph">
    <w:name w:val="Table Paragraph"/>
    <w:basedOn w:val="Normal"/>
    <w:uiPriority w:val="1"/>
    <w:qFormat/>
    <w:pPr/>
    <w:rPr>
      <w:rFonts w:ascii="Arial" w:hAnsi="Arial" w:eastAsia="Arial" w:cs="Arial"/>
      <w:lang w:val="pt-PT" w:eastAsia="pt-PT" w:bidi="pt-PT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desperdiciozero@sema.pr.gov.br" TargetMode="Externa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comunicacao</dc:creator>
  <dc:title>(Microsoft Word - PLANO DE GERENCIAMENTO DE RES\315DUOS  DE SERVI\307O DE SA\332DE _1_.doc)</dc:title>
  <dcterms:created xsi:type="dcterms:W3CDTF">2019-06-04T18:29:25Z</dcterms:created>
  <dcterms:modified xsi:type="dcterms:W3CDTF">2019-06-04T18:29:25Z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2010-03-24T00:00:00Z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2019-06-04T00:00:00Z</vt:filetime>
  </property>
</Properties>
</file>